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Electrical</w:t>
      </w:r>
      <w:r>
        <w:t xml:space="preserve"> </w:t>
      </w:r>
      <w:r>
        <w:t xml:space="preserve">System</w:t>
      </w:r>
      <w:r>
        <w:t xml:space="preserve"> </w:t>
      </w:r>
      <w:r>
        <w:t xml:space="preserve">Efficiency</w:t>
      </w:r>
      <w:r>
        <w:t xml:space="preserve"> </w:t>
      </w:r>
      <w:r>
        <w:t xml:space="preserve">in</w:t>
      </w:r>
      <w:r>
        <w:t xml:space="preserve"> </w:t>
      </w:r>
      <w:r>
        <w:t xml:space="preserve">Toronto</w:t>
      </w:r>
      <w:r>
        <w:t xml:space="preserve"> </w:t>
      </w:r>
      <w:r>
        <w:t xml:space="preserve">Residential</w:t>
      </w:r>
      <w:r>
        <w:t xml:space="preserve"> </w:t>
      </w:r>
      <w:r>
        <w:t xml:space="preserve">Units</w:t>
      </w:r>
    </w:p>
    <w:bookmarkStart w:id="34" w:name="Xc90a4dd24bddf38b6803cfdacf591f4365eb531"/>
    <w:p>
      <w:pPr>
        <w:pStyle w:val="Heading1"/>
      </w:pPr>
      <w:r>
        <w:t xml:space="preserve">Experiment Protocol: Evaluation of Electrical Load Distribution and Energy Efficiency in Toronto Residential Installations</w:t>
      </w:r>
    </w:p>
    <w:p>
      <w:pPr>
        <w:pStyle w:val="FirstParagraph"/>
      </w:pPr>
      <w:r>
        <w:rPr>
          <w:bCs/>
          <w:b/>
        </w:rPr>
        <w:t xml:space="preserve">Document ID:</w:t>
      </w:r>
      <w:r>
        <w:t xml:space="preserve"> </w:t>
      </w:r>
      <w:r>
        <w:t xml:space="preserve">EP-TOR-2024-001</w:t>
      </w:r>
      <w:r>
        <w:br/>
      </w:r>
      <w:r>
        <w:rPr>
          <w:bCs/>
          <w:b/>
        </w:rPr>
        <w:t xml:space="preserve">Date:</w:t>
      </w:r>
      <w:r>
        <w:t xml:space="preserve"> </w:t>
      </w:r>
      <w:r>
        <w:t xml:space="preserve">October 26, 2024</w:t>
      </w:r>
      <w:r>
        <w:br/>
      </w:r>
      <w:r>
        <w:rPr>
          <w:bCs/>
          <w:b/>
        </w:rPr>
        <w:t xml:space="preserve">Location:</w:t>
      </w:r>
      <w:r>
        <w:t xml:space="preserve"> </w:t>
      </w:r>
      <w:r>
        <w:t xml:space="preserve">Toronto, Ontario, Canada</w:t>
      </w:r>
      <w:r>
        <w:br/>
      </w:r>
      <w:r>
        <w:rPr>
          <w:bCs/>
          <w:b/>
        </w:rPr>
        <w:t xml:space="preserve">Prepared by:</w:t>
      </w:r>
      <w:r>
        <w:t xml:space="preserve"> </w:t>
      </w:r>
      <w:r>
        <w:t xml:space="preserve">Certified Electrician Research Team</w:t>
      </w:r>
      <w:r>
        <w:br/>
      </w:r>
      <w:r>
        <w:rPr>
          <w:bCs/>
          <w:b/>
        </w:rPr>
        <w:t xml:space="preserve">Compliance:</w:t>
      </w:r>
      <w:r>
        <w:t xml:space="preserve"> </w:t>
      </w:r>
      <w:r>
        <w:t xml:space="preserve">Canadian Electrical Code (CEC), Part I; Ontario Electrical Safety Code (OESC)</w:t>
      </w:r>
    </w:p>
    <w:bookmarkStart w:id="20" w:name="introduction-and-objective"/>
    <w:p>
      <w:pPr>
        <w:pStyle w:val="Heading2"/>
      </w:pPr>
      <w:r>
        <w:t xml:space="preserve">1. Introduction and Objective</w:t>
      </w:r>
    </w:p>
    <w:p>
      <w:pPr>
        <w:pStyle w:val="FirstParagraph"/>
      </w:pPr>
      <w:r>
        <w:t xml:space="preserve">This Experiment Protocol outlines the procedures for conducting a controlled study on electrical load distribution and energy efficiency in residential buildings located in Toronto, Canada. The primary objective is to assess how modern electrical installations, performed by licensed electricians in accordance with the Canadian Electrical Code (CEC), impact energy consumption and system reliability under varying load conditions typical of Toronto's climate and urban environment.</w:t>
      </w:r>
    </w:p>
    <w:p>
      <w:pPr>
        <w:pStyle w:val="BodyText"/>
      </w:pPr>
      <w:r>
        <w:t xml:space="preserve">Toronto's residential electrical systems must accommodate high-demand appliances, electric vehicle (EV) charging stations, and seasonal heating loads. This experiment aims to provide data-driven insights that can guide electricians and homeowners in optimizing electrical system design and usage.</w:t>
      </w:r>
    </w:p>
    <w:bookmarkEnd w:id="20"/>
    <w:bookmarkStart w:id="21" w:name="scope"/>
    <w:p>
      <w:pPr>
        <w:pStyle w:val="Heading2"/>
      </w:pPr>
      <w:r>
        <w:t xml:space="preserve">2. Scope</w:t>
      </w:r>
    </w:p>
    <w:p>
      <w:pPr>
        <w:pStyle w:val="FirstParagraph"/>
      </w:pPr>
      <w:r>
        <w:t xml:space="preserve">The scope of this experiment includes:</w:t>
      </w:r>
    </w:p>
    <w:p>
      <w:pPr>
        <w:numPr>
          <w:ilvl w:val="0"/>
          <w:numId w:val="1001"/>
        </w:numPr>
        <w:pStyle w:val="Compact"/>
      </w:pPr>
      <w:r>
        <w:t xml:space="preserve">Residential properties in Toronto, Ontario, Canada.</w:t>
      </w:r>
    </w:p>
    <w:p>
      <w:pPr>
        <w:numPr>
          <w:ilvl w:val="0"/>
          <w:numId w:val="1001"/>
        </w:numPr>
        <w:pStyle w:val="Compact"/>
      </w:pPr>
      <w:r>
        <w:t xml:space="preserve">Electrical systems installed or upgraded by licensed electricians.</w:t>
      </w:r>
    </w:p>
    <w:p>
      <w:pPr>
        <w:numPr>
          <w:ilvl w:val="0"/>
          <w:numId w:val="1001"/>
        </w:numPr>
        <w:pStyle w:val="Compact"/>
      </w:pPr>
      <w:r>
        <w:t xml:space="preserve">Compliance with the Canadian Electrical Code (CEC), Part I, and Ontario regulations.</w:t>
      </w:r>
    </w:p>
    <w:p>
      <w:pPr>
        <w:numPr>
          <w:ilvl w:val="0"/>
          <w:numId w:val="1001"/>
        </w:numPr>
        <w:pStyle w:val="Compact"/>
      </w:pPr>
      <w:r>
        <w:t xml:space="preserve">Measurement of voltage, current, power factor, and energy consumption under controlled load scenarios.</w:t>
      </w:r>
    </w:p>
    <w:bookmarkEnd w:id="21"/>
    <w:bookmarkStart w:id="22" w:name="regulatory-and-safety-compliance"/>
    <w:p>
      <w:pPr>
        <w:pStyle w:val="Heading2"/>
      </w:pPr>
      <w:r>
        <w:t xml:space="preserve">3. Regulatory and Safety Compliance</w:t>
      </w:r>
    </w:p>
    <w:p>
      <w:pPr>
        <w:pStyle w:val="FirstParagraph"/>
      </w:pPr>
      <w:r>
        <w:t xml:space="preserve">All procedures must strictly adhere to:</w:t>
      </w:r>
    </w:p>
    <w:p>
      <w:pPr>
        <w:numPr>
          <w:ilvl w:val="0"/>
          <w:numId w:val="1002"/>
        </w:numPr>
        <w:pStyle w:val="Compact"/>
      </w:pPr>
      <w:r>
        <w:rPr>
          <w:bCs/>
          <w:b/>
        </w:rPr>
        <w:t xml:space="preserve">Canadian Electrical Code (CEC), Part I:</w:t>
      </w:r>
      <w:r>
        <w:t xml:space="preserve"> </w:t>
      </w:r>
      <w:r>
        <w:t xml:space="preserve">The national standard for electrical installations in Canada.</w:t>
      </w:r>
    </w:p>
    <w:p>
      <w:pPr>
        <w:numPr>
          <w:ilvl w:val="0"/>
          <w:numId w:val="1002"/>
        </w:numPr>
        <w:pStyle w:val="Compact"/>
      </w:pPr>
      <w:r>
        <w:rPr>
          <w:bCs/>
          <w:b/>
        </w:rPr>
        <w:t xml:space="preserve">Ontario Electrical Safety Code (OESC):</w:t>
      </w:r>
      <w:r>
        <w:t xml:space="preserve"> </w:t>
      </w:r>
      <w:r>
        <w:t xml:space="preserve">Provincial regulations governing electrical work in Ontario.</w:t>
      </w:r>
    </w:p>
    <w:p>
      <w:pPr>
        <w:numPr>
          <w:ilvl w:val="0"/>
          <w:numId w:val="1002"/>
        </w:numPr>
        <w:pStyle w:val="Compact"/>
      </w:pPr>
      <w:r>
        <w:rPr>
          <w:bCs/>
          <w:b/>
        </w:rPr>
        <w:t xml:space="preserve">Toronto Building Code:</w:t>
      </w:r>
      <w:r>
        <w:t xml:space="preserve"> </w:t>
      </w:r>
      <w:r>
        <w:t xml:space="preserve">Local bylaws affecting electrical installations.</w:t>
      </w:r>
    </w:p>
    <w:p>
      <w:pPr>
        <w:numPr>
          <w:ilvl w:val="0"/>
          <w:numId w:val="1002"/>
        </w:numPr>
        <w:pStyle w:val="Compact"/>
      </w:pPr>
      <w:r>
        <w:rPr>
          <w:bCs/>
          <w:b/>
        </w:rPr>
        <w:t xml:space="preserve">Workplace Safety and Insurance Board (WSIB):</w:t>
      </w:r>
      <w:r>
        <w:t xml:space="preserve"> </w:t>
      </w:r>
      <w:r>
        <w:t xml:space="preserve">Occupational health and safety requirements.</w:t>
      </w:r>
    </w:p>
    <w:p>
      <w:pPr>
        <w:pStyle w:val="FirstParagraph"/>
      </w:pPr>
      <w:r>
        <w:t xml:space="preserve">Only licensed electricians in good standing with the Electrical Safety Authority (ESA) of Ontario are permitted to perform or supervise electrical work during this experiment.</w:t>
      </w:r>
    </w:p>
    <w:bookmarkEnd w:id="22"/>
    <w:bookmarkStart w:id="25" w:name="experimental-setup"/>
    <w:p>
      <w:pPr>
        <w:pStyle w:val="Heading2"/>
      </w:pPr>
      <w:r>
        <w:t xml:space="preserve">4. Experimental Setup</w:t>
      </w:r>
    </w:p>
    <w:bookmarkStart w:id="23" w:name="site-selection"/>
    <w:p>
      <w:pPr>
        <w:pStyle w:val="Heading3"/>
      </w:pPr>
      <w:r>
        <w:t xml:space="preserve">4.1 Site Selection</w:t>
      </w:r>
    </w:p>
    <w:p>
      <w:pPr>
        <w:pStyle w:val="FirstParagraph"/>
      </w:pPr>
      <w:r>
        <w:t xml:space="preserve">Five residential properties in Toronto will be selected based on:</w:t>
      </w:r>
    </w:p>
    <w:p>
      <w:pPr>
        <w:numPr>
          <w:ilvl w:val="0"/>
          <w:numId w:val="1003"/>
        </w:numPr>
        <w:pStyle w:val="Compact"/>
      </w:pPr>
      <w:r>
        <w:t xml:space="preserve">Recent electrical upgrades by licensed electricians.</w:t>
      </w:r>
    </w:p>
    <w:p>
      <w:pPr>
        <w:numPr>
          <w:ilvl w:val="0"/>
          <w:numId w:val="1003"/>
        </w:numPr>
        <w:pStyle w:val="Compact"/>
      </w:pPr>
      <w:r>
        <w:t xml:space="preserve">Presence of high-load appliances (e.g., heat pumps, EV chargers).</w:t>
      </w:r>
    </w:p>
    <w:p>
      <w:pPr>
        <w:numPr>
          <w:ilvl w:val="0"/>
          <w:numId w:val="1003"/>
        </w:numPr>
        <w:pStyle w:val="Compact"/>
      </w:pPr>
      <w:r>
        <w:t xml:space="preserve">Willingness of homeowners to participate.</w:t>
      </w:r>
    </w:p>
    <w:bookmarkEnd w:id="23"/>
    <w:bookmarkStart w:id="24" w:name="equipment"/>
    <w:p>
      <w:pPr>
        <w:pStyle w:val="Heading3"/>
      </w:pPr>
      <w:r>
        <w:t xml:space="preserve">4.2 Equipment</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Equipment</w:t>
            </w:r>
          </w:p>
        </w:tc>
        <w:tc>
          <w:tcPr/>
          <w:p>
            <w:pPr>
              <w:pStyle w:val="Compact"/>
              <w:jc w:val="left"/>
            </w:pPr>
            <w:r>
              <w:t xml:space="preserve">Specification</w:t>
            </w:r>
          </w:p>
        </w:tc>
        <w:tc>
          <w:tcPr/>
          <w:p>
            <w:pPr>
              <w:pStyle w:val="Compact"/>
              <w:jc w:val="left"/>
            </w:pPr>
            <w:r>
              <w:t xml:space="preserve">Purpose</w:t>
            </w:r>
          </w:p>
        </w:tc>
      </w:tr>
      <w:tr>
        <w:tc>
          <w:tcPr/>
          <w:p>
            <w:pPr>
              <w:pStyle w:val="Compact"/>
              <w:jc w:val="left"/>
            </w:pPr>
            <w:r>
              <w:t xml:space="preserve">Clamp Meter</w:t>
            </w:r>
          </w:p>
        </w:tc>
        <w:tc>
          <w:tcPr/>
          <w:p>
            <w:pPr>
              <w:pStyle w:val="Compact"/>
              <w:jc w:val="left"/>
            </w:pPr>
            <w:r>
              <w:t xml:space="preserve">True RMS, CAT III 600V</w:t>
            </w:r>
          </w:p>
        </w:tc>
        <w:tc>
          <w:tcPr/>
          <w:p>
            <w:pPr>
              <w:pStyle w:val="Compact"/>
              <w:jc w:val="left"/>
            </w:pPr>
            <w:r>
              <w:t xml:space="preserve">Current measurement</w:t>
            </w:r>
          </w:p>
        </w:tc>
      </w:tr>
      <w:tr>
        <w:tc>
          <w:tcPr/>
          <w:p>
            <w:pPr>
              <w:pStyle w:val="Compact"/>
              <w:jc w:val="left"/>
            </w:pPr>
            <w:r>
              <w:t xml:space="preserve">Power Analyzer</w:t>
            </w:r>
          </w:p>
        </w:tc>
        <w:tc>
          <w:tcPr/>
          <w:p>
            <w:pPr>
              <w:pStyle w:val="Compact"/>
              <w:jc w:val="left"/>
            </w:pPr>
            <w:r>
              <w:t xml:space="preserve">Multi-channel, data logging</w:t>
            </w:r>
          </w:p>
        </w:tc>
        <w:tc>
          <w:tcPr/>
          <w:p>
            <w:pPr>
              <w:pStyle w:val="Compact"/>
              <w:jc w:val="left"/>
            </w:pPr>
            <w:r>
              <w:t xml:space="preserve">Energy consumption and power factor analysis</w:t>
            </w:r>
          </w:p>
        </w:tc>
      </w:tr>
      <w:tr>
        <w:tc>
          <w:tcPr/>
          <w:p>
            <w:pPr>
              <w:pStyle w:val="Compact"/>
              <w:jc w:val="left"/>
            </w:pPr>
            <w:r>
              <w:t xml:space="preserve">Thermal Imaging Camera</w:t>
            </w:r>
          </w:p>
        </w:tc>
        <w:tc>
          <w:tcPr/>
          <w:p>
            <w:pPr>
              <w:pStyle w:val="Compact"/>
              <w:jc w:val="left"/>
            </w:pPr>
            <w:r>
              <w:t xml:space="preserve">Infrared, resolution &gt; 320x240</w:t>
            </w:r>
          </w:p>
        </w:tc>
        <w:tc>
          <w:tcPr/>
          <w:p>
            <w:pPr>
              <w:pStyle w:val="Compact"/>
              <w:jc w:val="left"/>
            </w:pPr>
            <w:r>
              <w:t xml:space="preserve">Detection of overheating components</w:t>
            </w:r>
          </w:p>
        </w:tc>
      </w:tr>
      <w:tr>
        <w:tc>
          <w:tcPr/>
          <w:p>
            <w:pPr>
              <w:pStyle w:val="Compact"/>
              <w:jc w:val="left"/>
            </w:pPr>
            <w:r>
              <w:t xml:space="preserve">Insulation Resistance Tester</w:t>
            </w:r>
          </w:p>
        </w:tc>
        <w:tc>
          <w:tcPr/>
          <w:p>
            <w:pPr>
              <w:pStyle w:val="Compact"/>
              <w:jc w:val="left"/>
            </w:pPr>
            <w:r>
              <w:t xml:space="preserve">Up to 1000V DC</w:t>
            </w:r>
          </w:p>
        </w:tc>
        <w:tc>
          <w:tcPr/>
          <w:p>
            <w:pPr>
              <w:pStyle w:val="Compact"/>
              <w:jc w:val="left"/>
            </w:pPr>
            <w:r>
              <w:t xml:space="preserve">Verification of insulation integrity</w:t>
            </w:r>
          </w:p>
        </w:tc>
      </w:tr>
    </w:tbl>
    <w:bookmarkEnd w:id="24"/>
    <w:bookmarkEnd w:id="25"/>
    <w:bookmarkStart w:id="29" w:name="methodology"/>
    <w:p>
      <w:pPr>
        <w:pStyle w:val="Heading2"/>
      </w:pPr>
      <w:r>
        <w:t xml:space="preserve">5. Methodology</w:t>
      </w:r>
    </w:p>
    <w:bookmarkStart w:id="26" w:name="pre-experiment-inspection"/>
    <w:p>
      <w:pPr>
        <w:pStyle w:val="Heading3"/>
      </w:pPr>
      <w:r>
        <w:t xml:space="preserve">5.1 Pre-Experiment Inspection</w:t>
      </w:r>
    </w:p>
    <w:p>
      <w:pPr>
        <w:pStyle w:val="FirstParagraph"/>
      </w:pPr>
      <w:r>
        <w:t xml:space="preserve">A licensed electrician will conduct a thorough inspection of each property's electrical system, including:</w:t>
      </w:r>
    </w:p>
    <w:p>
      <w:pPr>
        <w:numPr>
          <w:ilvl w:val="0"/>
          <w:numId w:val="1004"/>
        </w:numPr>
        <w:pStyle w:val="Compact"/>
      </w:pPr>
      <w:r>
        <w:t xml:space="preserve">Verification of panel labeling and circuit identification.</w:t>
      </w:r>
    </w:p>
    <w:p>
      <w:pPr>
        <w:numPr>
          <w:ilvl w:val="0"/>
          <w:numId w:val="1004"/>
        </w:numPr>
        <w:pStyle w:val="Compact"/>
      </w:pPr>
      <w:r>
        <w:t xml:space="preserve">Inspection of wiring, connections, and grounding.</w:t>
      </w:r>
    </w:p>
    <w:p>
      <w:pPr>
        <w:numPr>
          <w:ilvl w:val="0"/>
          <w:numId w:val="1004"/>
        </w:numPr>
        <w:pStyle w:val="Compact"/>
      </w:pPr>
      <w:r>
        <w:t xml:space="preserve">Confirmation of compliance with CEC and OESC.</w:t>
      </w:r>
    </w:p>
    <w:bookmarkEnd w:id="26"/>
    <w:bookmarkStart w:id="27" w:name="load-testing"/>
    <w:p>
      <w:pPr>
        <w:pStyle w:val="Heading3"/>
      </w:pPr>
      <w:r>
        <w:t xml:space="preserve">5.2 Load Testing</w:t>
      </w:r>
    </w:p>
    <w:p>
      <w:pPr>
        <w:pStyle w:val="FirstParagraph"/>
      </w:pPr>
      <w:r>
        <w:t xml:space="preserve">Controlled load tests will be performed to simulate typical and peak usage scenarios:</w:t>
      </w:r>
    </w:p>
    <w:p>
      <w:pPr>
        <w:numPr>
          <w:ilvl w:val="0"/>
          <w:numId w:val="1005"/>
        </w:numPr>
        <w:pStyle w:val="Compact"/>
      </w:pPr>
      <w:r>
        <w:rPr>
          <w:bCs/>
          <w:b/>
        </w:rPr>
        <w:t xml:space="preserve">Baseline Load:</w:t>
      </w:r>
      <w:r>
        <w:t xml:space="preserve"> </w:t>
      </w:r>
      <w:r>
        <w:t xml:space="preserve">Measurement with minimal appliances active.</w:t>
      </w:r>
    </w:p>
    <w:p>
      <w:pPr>
        <w:numPr>
          <w:ilvl w:val="0"/>
          <w:numId w:val="1005"/>
        </w:numPr>
        <w:pStyle w:val="Compact"/>
      </w:pPr>
      <w:r>
        <w:rPr>
          <w:bCs/>
          <w:b/>
        </w:rPr>
        <w:t xml:space="preserve">Normal Load:</w:t>
      </w:r>
      <w:r>
        <w:t xml:space="preserve"> </w:t>
      </w:r>
      <w:r>
        <w:t xml:space="preserve">Activation of standard household appliances.</w:t>
      </w:r>
    </w:p>
    <w:p>
      <w:pPr>
        <w:numPr>
          <w:ilvl w:val="0"/>
          <w:numId w:val="1005"/>
        </w:numPr>
        <w:pStyle w:val="Compact"/>
      </w:pPr>
      <w:r>
        <w:rPr>
          <w:bCs/>
          <w:b/>
        </w:rPr>
        <w:t xml:space="preserve">Peak Load:</w:t>
      </w:r>
      <w:r>
        <w:t xml:space="preserve"> </w:t>
      </w:r>
      <w:r>
        <w:t xml:space="preserve">Simultaneous operation of high-demand devices (e.g., HVAC, EV charger, kitchen appliances).</w:t>
      </w:r>
    </w:p>
    <w:p>
      <w:pPr>
        <w:pStyle w:val="FirstParagraph"/>
      </w:pPr>
      <w:r>
        <w:t xml:space="preserve">Each test will last for a minimum of two hours, with continuous data logging.</w:t>
      </w:r>
    </w:p>
    <w:bookmarkEnd w:id="27"/>
    <w:bookmarkStart w:id="28" w:name="data-collection"/>
    <w:p>
      <w:pPr>
        <w:pStyle w:val="Heading3"/>
      </w:pPr>
      <w:r>
        <w:t xml:space="preserve">5.3 Data Collection</w:t>
      </w:r>
    </w:p>
    <w:p>
      <w:pPr>
        <w:pStyle w:val="FirstParagraph"/>
      </w:pPr>
      <w:r>
        <w:t xml:space="preserve">Data will be collected at 15-second intervals, including:</w:t>
      </w:r>
    </w:p>
    <w:p>
      <w:pPr>
        <w:numPr>
          <w:ilvl w:val="0"/>
          <w:numId w:val="1006"/>
        </w:numPr>
        <w:pStyle w:val="Compact"/>
      </w:pPr>
      <w:r>
        <w:t xml:space="preserve">Voltage (V)</w:t>
      </w:r>
    </w:p>
    <w:p>
      <w:pPr>
        <w:numPr>
          <w:ilvl w:val="0"/>
          <w:numId w:val="1006"/>
        </w:numPr>
        <w:pStyle w:val="Compact"/>
      </w:pPr>
      <w:r>
        <w:t xml:space="preserve">Current (A)</w:t>
      </w:r>
    </w:p>
    <w:p>
      <w:pPr>
        <w:numPr>
          <w:ilvl w:val="0"/>
          <w:numId w:val="1006"/>
        </w:numPr>
        <w:pStyle w:val="Compact"/>
      </w:pPr>
      <w:r>
        <w:t xml:space="preserve">Real Power (W)</w:t>
      </w:r>
    </w:p>
    <w:p>
      <w:pPr>
        <w:numPr>
          <w:ilvl w:val="0"/>
          <w:numId w:val="1006"/>
        </w:numPr>
        <w:pStyle w:val="Compact"/>
      </w:pPr>
      <w:r>
        <w:t xml:space="preserve">Reactive Power (VAR)</w:t>
      </w:r>
    </w:p>
    <w:p>
      <w:pPr>
        <w:numPr>
          <w:ilvl w:val="0"/>
          <w:numId w:val="1006"/>
        </w:numPr>
        <w:pStyle w:val="Compact"/>
      </w:pPr>
      <w:r>
        <w:t xml:space="preserve">Power Factor</w:t>
      </w:r>
    </w:p>
    <w:p>
      <w:pPr>
        <w:numPr>
          <w:ilvl w:val="0"/>
          <w:numId w:val="1006"/>
        </w:numPr>
        <w:pStyle w:val="Compact"/>
      </w:pPr>
      <w:r>
        <w:t xml:space="preserve">Energy Consumption (kWh)</w:t>
      </w:r>
    </w:p>
    <w:bookmarkEnd w:id="28"/>
    <w:bookmarkEnd w:id="29"/>
    <w:bookmarkStart w:id="30" w:name="safety-procedures"/>
    <w:p>
      <w:pPr>
        <w:pStyle w:val="Heading2"/>
      </w:pPr>
      <w:r>
        <w:t xml:space="preserve">6. Safety Procedures</w:t>
      </w:r>
    </w:p>
    <w:p>
      <w:pPr>
        <w:pStyle w:val="FirstParagraph"/>
      </w:pPr>
      <w:r>
        <w:t xml:space="preserve">All personnel must:</w:t>
      </w:r>
    </w:p>
    <w:p>
      <w:pPr>
        <w:numPr>
          <w:ilvl w:val="0"/>
          <w:numId w:val="1007"/>
        </w:numPr>
        <w:pStyle w:val="Compact"/>
      </w:pPr>
      <w:r>
        <w:t xml:space="preserve">Wear appropriate personal protective equipment (PPE), including insulated gloves and safety glasses.</w:t>
      </w:r>
    </w:p>
    <w:p>
      <w:pPr>
        <w:numPr>
          <w:ilvl w:val="0"/>
          <w:numId w:val="1007"/>
        </w:numPr>
        <w:pStyle w:val="Compact"/>
      </w:pPr>
      <w:r>
        <w:t xml:space="preserve">Follow lockout/tagout (LOTO) procedures when working on energized systems.</w:t>
      </w:r>
    </w:p>
    <w:p>
      <w:pPr>
        <w:numPr>
          <w:ilvl w:val="0"/>
          <w:numId w:val="1007"/>
        </w:numPr>
        <w:pStyle w:val="Compact"/>
      </w:pPr>
      <w:r>
        <w:t xml:space="preserve">Ensure all equipment is properly calibrated and rated for the intended use.</w:t>
      </w:r>
    </w:p>
    <w:p>
      <w:pPr>
        <w:numPr>
          <w:ilvl w:val="0"/>
          <w:numId w:val="1007"/>
        </w:numPr>
        <w:pStyle w:val="Compact"/>
      </w:pPr>
      <w:r>
        <w:t xml:space="preserve">Maintain clear communication and emergency response plans.</w:t>
      </w:r>
    </w:p>
    <w:bookmarkEnd w:id="30"/>
    <w:bookmarkStart w:id="31" w:name="data-analysis"/>
    <w:p>
      <w:pPr>
        <w:pStyle w:val="Heading2"/>
      </w:pPr>
      <w:r>
        <w:t xml:space="preserve">7. Data Analysis</w:t>
      </w:r>
    </w:p>
    <w:p>
      <w:pPr>
        <w:pStyle w:val="FirstParagraph"/>
      </w:pPr>
      <w:r>
        <w:t xml:space="preserve">Collected data will be analyzed to:</w:t>
      </w:r>
    </w:p>
    <w:p>
      <w:pPr>
        <w:numPr>
          <w:ilvl w:val="0"/>
          <w:numId w:val="1008"/>
        </w:numPr>
        <w:pStyle w:val="Compact"/>
      </w:pPr>
      <w:r>
        <w:t xml:space="preserve">Identify inefficiencies in load distribution.</w:t>
      </w:r>
    </w:p>
    <w:p>
      <w:pPr>
        <w:numPr>
          <w:ilvl w:val="0"/>
          <w:numId w:val="1008"/>
        </w:numPr>
        <w:pStyle w:val="Compact"/>
      </w:pPr>
      <w:r>
        <w:t xml:space="preserve">Assess the impact of high-demand appliances on system performance.</w:t>
      </w:r>
    </w:p>
    <w:p>
      <w:pPr>
        <w:numPr>
          <w:ilvl w:val="0"/>
          <w:numId w:val="1008"/>
        </w:numPr>
        <w:pStyle w:val="Compact"/>
      </w:pPr>
      <w:r>
        <w:t xml:space="preserve">Evaluate compliance with CEC and OESC requirements.</w:t>
      </w:r>
    </w:p>
    <w:p>
      <w:pPr>
        <w:numPr>
          <w:ilvl w:val="0"/>
          <w:numId w:val="1008"/>
        </w:numPr>
        <w:pStyle w:val="Compact"/>
      </w:pPr>
      <w:r>
        <w:t xml:space="preserve">Provide recommendations for electricians and homeowners in Toronto.</w:t>
      </w:r>
    </w:p>
    <w:bookmarkEnd w:id="31"/>
    <w:bookmarkStart w:id="32" w:name="reporting"/>
    <w:p>
      <w:pPr>
        <w:pStyle w:val="Heading2"/>
      </w:pPr>
      <w:r>
        <w:t xml:space="preserve">8. Reporting</w:t>
      </w:r>
    </w:p>
    <w:p>
      <w:pPr>
        <w:pStyle w:val="FirstParagraph"/>
      </w:pPr>
      <w:r>
        <w:t xml:space="preserve">A comprehensive report will be generated, including:</w:t>
      </w:r>
    </w:p>
    <w:p>
      <w:pPr>
        <w:numPr>
          <w:ilvl w:val="0"/>
          <w:numId w:val="1009"/>
        </w:numPr>
        <w:pStyle w:val="Compact"/>
      </w:pPr>
      <w:r>
        <w:t xml:space="preserve">Summary of findings.</w:t>
      </w:r>
    </w:p>
    <w:p>
      <w:pPr>
        <w:numPr>
          <w:ilvl w:val="0"/>
          <w:numId w:val="1009"/>
        </w:numPr>
        <w:pStyle w:val="Compact"/>
      </w:pPr>
      <w:r>
        <w:t xml:space="preserve">Graphs and charts illustrating load profiles and energy consumption.</w:t>
      </w:r>
    </w:p>
    <w:p>
      <w:pPr>
        <w:numPr>
          <w:ilvl w:val="0"/>
          <w:numId w:val="1009"/>
        </w:numPr>
        <w:pStyle w:val="Compact"/>
      </w:pPr>
      <w:r>
        <w:t xml:space="preserve">Recommendations for system improvements.</w:t>
      </w:r>
    </w:p>
    <w:p>
      <w:pPr>
        <w:numPr>
          <w:ilvl w:val="0"/>
          <w:numId w:val="1009"/>
        </w:numPr>
        <w:pStyle w:val="Compact"/>
      </w:pPr>
      <w:r>
        <w:t xml:space="preserve">Compliance assessment with Canadian and Ontario electrical standards.</w:t>
      </w:r>
    </w:p>
    <w:bookmarkEnd w:id="32"/>
    <w:bookmarkStart w:id="33" w:name="conclusion"/>
    <w:p>
      <w:pPr>
        <w:pStyle w:val="Heading2"/>
      </w:pPr>
      <w:r>
        <w:t xml:space="preserve">9. Conclusion</w:t>
      </w:r>
    </w:p>
    <w:p>
      <w:pPr>
        <w:pStyle w:val="FirstParagraph"/>
      </w:pPr>
      <w:r>
        <w:t xml:space="preserve">This Experiment Protocol provides a structured approach for evaluating electrical system performance in Toronto residential properties. By adhering to Canadian and Ontario regulations and involving licensed electricians, the study aims to enhance safety, efficiency, and reliability in electrical installations across Canada Toronto.</w:t>
      </w:r>
    </w:p>
    <w:p>
      <w:pPr>
        <w:pStyle w:val="BodyText"/>
      </w:pPr>
      <w:r>
        <w:rPr>
          <w:bCs/>
          <w:b/>
        </w:rPr>
        <w:t xml:space="preserve">Note:</w:t>
      </w:r>
      <w:r>
        <w:t xml:space="preserve"> </w:t>
      </w:r>
      <w:r>
        <w:t xml:space="preserve">This protocol must be reviewed and approved by the Electrical Safety Authority (ESA) of Ontario prior to implementation. Any modifications must be documented and re-approved.</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Electrical System Efficiency in Toronto Residential Units</dc:title>
  <dc:creator/>
  <dc:language>en</dc:language>
  <cp:keywords/>
  <dcterms:created xsi:type="dcterms:W3CDTF">2026-10-10T03:37:11Z</dcterms:created>
  <dcterms:modified xsi:type="dcterms:W3CDTF">2026-10-10T03:37:11Z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