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in</w:t>
      </w:r>
      <w:r>
        <w:t xml:space="preserve"> </w:t>
      </w:r>
      <w:r>
        <w:t xml:space="preserve">Moscow</w:t>
      </w:r>
    </w:p>
    <w:bookmarkStart w:id="30" w:name="X1999e86a1e126e5048fd68d3d30b9e673b9ed19"/>
    <w:p>
      <w:pPr>
        <w:pStyle w:val="Heading1"/>
      </w:pPr>
      <w:r>
        <w:t xml:space="preserve">Experiment Protocol: Dynamic Load Balancing and Fault Isolation in Urban High-Voltage Networks</w:t>
      </w:r>
    </w:p>
    <w:p>
      <w:pPr>
        <w:pStyle w:val="FirstParagraph"/>
      </w:pPr>
      <w:r>
        <w:rPr>
          <w:bCs/>
          <w:b/>
        </w:rPr>
        <w:t xml:space="preserve">Protocol ID:</w:t>
      </w:r>
      <w:r>
        <w:t xml:space="preserve"> </w:t>
      </w:r>
      <w:r>
        <w:t xml:space="preserve">MOS-ELEC-2024-X99</w:t>
      </w:r>
    </w:p>
    <w:p>
      <w:pPr>
        <w:pStyle w:val="BodyText"/>
      </w:pPr>
      <w:r>
        <w:rPr>
          <w:bCs/>
          <w:b/>
        </w:rPr>
        <w:t xml:space="preserve">Location:</w:t>
      </w:r>
      <w:r>
        <w:t xml:space="preserve"> </w:t>
      </w:r>
      <w:r>
        <w:t xml:space="preserve">Moscow, Russia (Central District Substation Node)</w:t>
      </w:r>
    </w:p>
    <w:p>
      <w:pPr>
        <w:pStyle w:val="BodyText"/>
      </w:pPr>
      <w:r>
        <w:rPr>
          <w:bCs/>
          <w:b/>
        </w:rPr>
        <w:t xml:space="preserve">Subject:</w:t>
      </w:r>
      <w:r>
        <w:t xml:space="preserve"> </w:t>
      </w:r>
      <w:r>
        <w:t xml:space="preserve">Professional Electrician Performance and Grid Response Analysis</w:t>
      </w:r>
    </w:p>
    <w:p>
      <w:pPr>
        <w:pStyle w:val="BodyText"/>
      </w:pPr>
      <w:r>
        <w:rPr>
          <w:bCs/>
          <w:b/>
        </w:rPr>
        <w:t xml:space="preserve">Date:</w:t>
      </w:r>
      <w:r>
        <w:t xml:space="preserve"> </w:t>
      </w:r>
      <w:r>
        <w:t xml:space="preserve">October 24, 2024</w:t>
      </w:r>
    </w:p>
    <w:p>
      <w:pPr>
        <w:pStyle w:val="BodyText"/>
      </w:pPr>
      <w:r>
        <w:rPr>
          <w:bCs/>
          <w:b/>
        </w:rPr>
        <w:t xml:space="preserve">Compliance:</w:t>
      </w:r>
      <w:r>
        <w:t xml:space="preserve"> </w:t>
      </w:r>
      <w:r>
        <w:t xml:space="preserve">GOST R 50571.2-2014, PUE (Rules for Electrical Installations)</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operational efficiency, safety compliance, and technical response capabilities of a certified electrician within the complex power infrastructure of Moscow, Russia. The primary objective is to simulate controlled electrical anomalies within a high-density urban grid environment to evaluate the electrician's ability to diagnose, isolate, and rectify faults while adhering to strict Russian safety standards.</w:t>
      </w:r>
    </w:p>
    <w:p>
      <w:pPr>
        <w:pStyle w:val="BodyText"/>
      </w:pPr>
      <w:r>
        <w:t xml:space="preserve">Moscow's electrical grid is characterized by high voltage loads, aging infrastructure in certain sectors, and the critical need for uninterrupted power supply to residential and commercial hubs. This experiment aims to bridge the gap between theoretical electrical engineering principles and the practical, high-stakes reality faced by electricians in the Russian capital. The data collected will contribute to improving training protocols for electrical maintenance personnel in the Moscow region.</w:t>
      </w:r>
    </w:p>
    <w:bookmarkEnd w:id="20"/>
    <w:bookmarkStart w:id="21" w:name="scope-and-environment"/>
    <w:p>
      <w:pPr>
        <w:pStyle w:val="Heading2"/>
      </w:pPr>
      <w:r>
        <w:t xml:space="preserve">2. Scope and Environment</w:t>
      </w:r>
    </w:p>
    <w:p>
      <w:pPr>
        <w:pStyle w:val="FirstParagraph"/>
      </w:pPr>
      <w:r>
        <w:t xml:space="preserve">The experiment will be conducted at a designated test substation located in the industrial zone of Moscow, specifically designed to mimic the load profiles of the city's central districts. The environment will simulate the harsh winter conditions typical of Russia, including low ambient temperatures and potential ice accumulation on external switchgear, which significantly impacts electrical conductivity and mechanical operation.</w:t>
      </w:r>
    </w:p>
    <w:p>
      <w:pPr>
        <w:pStyle w:val="BodyText"/>
      </w:pPr>
      <w:r>
        <w:t xml:space="preserve">The scope includes the evaluation of the electrician's interaction with:</w:t>
      </w:r>
    </w:p>
    <w:p>
      <w:pPr>
        <w:numPr>
          <w:ilvl w:val="0"/>
          <w:numId w:val="1001"/>
        </w:numPr>
        <w:pStyle w:val="Compact"/>
      </w:pPr>
      <w:r>
        <w:t xml:space="preserve">High-voltage switchgear (10kV and 35kV levels).</w:t>
      </w:r>
    </w:p>
    <w:p>
      <w:pPr>
        <w:numPr>
          <w:ilvl w:val="0"/>
          <w:numId w:val="1001"/>
        </w:numPr>
        <w:pStyle w:val="Compact"/>
      </w:pPr>
      <w:r>
        <w:t xml:space="preserve">Automated distribution systems common in modern Moscow infrastructure.</w:t>
      </w:r>
    </w:p>
    <w:p>
      <w:pPr>
        <w:numPr>
          <w:ilvl w:val="0"/>
          <w:numId w:val="1001"/>
        </w:numPr>
        <w:pStyle w:val="Compact"/>
      </w:pPr>
      <w:r>
        <w:t xml:space="preserve">Emergency response protocols mandated by Russian Federal Law.</w:t>
      </w:r>
    </w:p>
    <w:bookmarkEnd w:id="21"/>
    <w:bookmarkStart w:id="22" w:name="X65493c324b5450e3ad8182b6eaced08ad4e2fa5"/>
    <w:p>
      <w:pPr>
        <w:pStyle w:val="Heading2"/>
      </w:pPr>
      <w:r>
        <w:t xml:space="preserve">3. Safety Protocols and Regulatory Compliance</w:t>
      </w:r>
    </w:p>
    <w:p>
      <w:pPr>
        <w:pStyle w:val="FirstParagraph"/>
      </w:pPr>
      <w:r>
        <w:t xml:space="preserve">Safety is the paramount concern in this experiment. All procedures must strictly adhere to the "Rules for Technical Operation of Consumer Electrical Installations" (PTEEP) and the "Labor Protection Rules for Electrical Installations" (POT EE) of the Russian Federation.</w:t>
      </w:r>
    </w:p>
    <w:p>
      <w:pPr>
        <w:pStyle w:val="BodyText"/>
      </w:pPr>
      <w:r>
        <w:rPr>
          <w:bCs/>
          <w:b/>
        </w:rPr>
        <w:t xml:space="preserve">WARNING:</w:t>
      </w:r>
      <w:r>
        <w:t xml:space="preserve"> </w:t>
      </w:r>
      <w:r>
        <w:t xml:space="preserve">This experiment involves live high-voltage equipment. Only personnel with Group IV or V electrical safety certification are permitted within the operational zone. All participants must wear approved Personal Protective Equipment (PPE) compliant with GOST standards.</w:t>
      </w:r>
    </w:p>
    <w:p>
      <w:pPr>
        <w:pStyle w:val="BodyText"/>
      </w:pPr>
      <w:r>
        <w:t xml:space="preserve">The electrician subject must demonstrate proficiency in the "Order of Work" (Naradochnaya Sistema), which is the standard documentation process for electrical work in Russia. This includes the issuance of work permits, safety briefings, and the establishment of safety barriers.</w:t>
      </w:r>
    </w:p>
    <w:bookmarkEnd w:id="22"/>
    <w:bookmarkStart w:id="26" w:name="experimental-methodology"/>
    <w:p>
      <w:pPr>
        <w:pStyle w:val="Heading2"/>
      </w:pPr>
      <w:r>
        <w:t xml:space="preserve">4. Experimental Methodology</w:t>
      </w:r>
    </w:p>
    <w:bookmarkStart w:id="23" w:name="phase-i-baseline-assessment"/>
    <w:p>
      <w:pPr>
        <w:pStyle w:val="Heading3"/>
      </w:pPr>
      <w:r>
        <w:t xml:space="preserve">4.1. Phase I: Baseline Assessment</w:t>
      </w:r>
    </w:p>
    <w:p>
      <w:pPr>
        <w:pStyle w:val="FirstParagraph"/>
      </w:pPr>
      <w:r>
        <w:t xml:space="preserve">The electrician will perform a routine inspection of the test substation. Observers will record the time taken to identify standard components, verify grounding integrity, and check insulation resistance using megohmmeters. This phase establishes a baseline for the electrician's familiarity with Moscow's specific grid configurations.</w:t>
      </w:r>
    </w:p>
    <w:bookmarkEnd w:id="23"/>
    <w:bookmarkStart w:id="24" w:name="phase-ii-controlled-fault-simulation"/>
    <w:p>
      <w:pPr>
        <w:pStyle w:val="Heading3"/>
      </w:pPr>
      <w:r>
        <w:t xml:space="preserve">4.2. Phase II: Controlled Fault Simulation</w:t>
      </w:r>
    </w:p>
    <w:p>
      <w:pPr>
        <w:pStyle w:val="FirstParagraph"/>
      </w:pPr>
      <w:r>
        <w:t xml:space="preserve">A controlled short-circuit fault will be introduced into a secondary distribution line. The electrician must:</w:t>
      </w:r>
    </w:p>
    <w:p>
      <w:pPr>
        <w:numPr>
          <w:ilvl w:val="0"/>
          <w:numId w:val="1002"/>
        </w:numPr>
        <w:pStyle w:val="Compact"/>
      </w:pPr>
      <w:r>
        <w:t xml:space="preserve">Identify the fault location using diagnostic tools.</w:t>
      </w:r>
    </w:p>
    <w:p>
      <w:pPr>
        <w:numPr>
          <w:ilvl w:val="0"/>
          <w:numId w:val="1002"/>
        </w:numPr>
        <w:pStyle w:val="Compact"/>
      </w:pPr>
      <w:r>
        <w:t xml:space="preserve">Execute the isolation procedure according to Moscow Energy Grid protocols.</w:t>
      </w:r>
    </w:p>
    <w:p>
      <w:pPr>
        <w:numPr>
          <w:ilvl w:val="0"/>
          <w:numId w:val="1002"/>
        </w:numPr>
        <w:pStyle w:val="Compact"/>
      </w:pPr>
      <w:r>
        <w:t xml:space="preserve">Communicate effectively with the central dispatch center using standard Russian technical terminology.</w:t>
      </w:r>
    </w:p>
    <w:bookmarkEnd w:id="24"/>
    <w:bookmarkStart w:id="25" w:name="phase-iii-emergency-response"/>
    <w:p>
      <w:pPr>
        <w:pStyle w:val="Heading3"/>
      </w:pPr>
      <w:r>
        <w:t xml:space="preserve">4.3. Phase III: Emergency Response</w:t>
      </w:r>
    </w:p>
    <w:p>
      <w:pPr>
        <w:pStyle w:val="FirstParagraph"/>
      </w:pPr>
      <w:r>
        <w:t xml:space="preserve">This phase simulates a sudden power surge caused by external factors, such as lightning strikes common in Moscow's summer storms. The electrician's reaction time and adherence to emergency shutdown procedures will be measured. The focus is on preventing equipment damage and ensuring the safety of the surrounding urban area.</w:t>
      </w:r>
    </w:p>
    <w:bookmarkEnd w:id="25"/>
    <w:bookmarkEnd w:id="26"/>
    <w:bookmarkStart w:id="27" w:name="data-collection-and-metrics"/>
    <w:p>
      <w:pPr>
        <w:pStyle w:val="Heading2"/>
      </w:pPr>
      <w:r>
        <w:t xml:space="preserve">5. Data Collection and Metrics</w:t>
      </w:r>
    </w:p>
    <w:p>
      <w:pPr>
        <w:pStyle w:val="FirstParagraph"/>
      </w:pPr>
      <w:r>
        <w:t xml:space="preserve">The following metrics will be recorded to evaluate the electrician's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w:t>
            </w:r>
          </w:p>
        </w:tc>
      </w:tr>
      <w:tr>
        <w:tc>
          <w:tcPr/>
          <w:p>
            <w:pPr>
              <w:pStyle w:val="Compact"/>
              <w:jc w:val="left"/>
            </w:pPr>
            <w:r>
              <w:t xml:space="preserve">Response Time</w:t>
            </w:r>
          </w:p>
        </w:tc>
        <w:tc>
          <w:tcPr/>
          <w:p>
            <w:pPr>
              <w:pStyle w:val="Compact"/>
              <w:jc w:val="left"/>
            </w:pPr>
            <w:r>
              <w:t xml:space="preserve">Time from fault detection to isolation initiation</w:t>
            </w:r>
          </w:p>
        </w:tc>
        <w:tc>
          <w:tcPr/>
          <w:p>
            <w:pPr>
              <w:pStyle w:val="Compact"/>
              <w:jc w:val="left"/>
            </w:pPr>
            <w:r>
              <w:t xml:space="preserve">Seconds</w:t>
            </w:r>
          </w:p>
        </w:tc>
      </w:tr>
      <w:tr>
        <w:tc>
          <w:tcPr/>
          <w:p>
            <w:pPr>
              <w:pStyle w:val="Compact"/>
              <w:jc w:val="left"/>
            </w:pPr>
            <w:r>
              <w:t xml:space="preserve">Safety Compliance</w:t>
            </w:r>
          </w:p>
        </w:tc>
        <w:tc>
          <w:tcPr/>
          <w:p>
            <w:pPr>
              <w:pStyle w:val="Compact"/>
              <w:jc w:val="left"/>
            </w:pPr>
            <w:r>
              <w:t xml:space="preserve">Adherence to PPE usage and safety barriers</w:t>
            </w:r>
          </w:p>
        </w:tc>
        <w:tc>
          <w:tcPr/>
          <w:p>
            <w:pPr>
              <w:pStyle w:val="Compact"/>
              <w:jc w:val="left"/>
            </w:pPr>
            <w:r>
              <w:t xml:space="preserve">Percentage</w:t>
            </w:r>
          </w:p>
        </w:tc>
      </w:tr>
      <w:tr>
        <w:tc>
          <w:tcPr/>
          <w:p>
            <w:pPr>
              <w:pStyle w:val="Compact"/>
              <w:jc w:val="left"/>
            </w:pPr>
            <w:r>
              <w:t xml:space="preserve">Diagnostic Accuracy</w:t>
            </w:r>
          </w:p>
        </w:tc>
        <w:tc>
          <w:tcPr/>
          <w:p>
            <w:pPr>
              <w:pStyle w:val="Compact"/>
              <w:jc w:val="left"/>
            </w:pPr>
            <w:r>
              <w:t xml:space="preserve">Correct identification of fault type and location</w:t>
            </w:r>
          </w:p>
        </w:tc>
        <w:tc>
          <w:tcPr/>
          <w:p>
            <w:pPr>
              <w:pStyle w:val="Compact"/>
              <w:jc w:val="left"/>
            </w:pPr>
            <w:r>
              <w:t xml:space="preserve">Boolean (Pass/Fail)</w:t>
            </w:r>
          </w:p>
        </w:tc>
      </w:tr>
      <w:tr>
        <w:tc>
          <w:tcPr/>
          <w:p>
            <w:pPr>
              <w:pStyle w:val="Compact"/>
              <w:jc w:val="left"/>
            </w:pPr>
            <w:r>
              <w:t xml:space="preserve">Communication Efficiency</w:t>
            </w:r>
          </w:p>
        </w:tc>
        <w:tc>
          <w:tcPr/>
          <w:p>
            <w:pPr>
              <w:pStyle w:val="Compact"/>
              <w:jc w:val="left"/>
            </w:pPr>
            <w:r>
              <w:t xml:space="preserve">Clarity and speed of reporting to dispatch</w:t>
            </w:r>
          </w:p>
        </w:tc>
        <w:tc>
          <w:tcPr/>
          <w:p>
            <w:pPr>
              <w:pStyle w:val="Compact"/>
              <w:jc w:val="left"/>
            </w:pPr>
            <w:r>
              <w:t xml:space="preserve">Score (1-10)</w:t>
            </w:r>
          </w:p>
        </w:tc>
      </w:tr>
    </w:tbl>
    <w:bookmarkEnd w:id="27"/>
    <w:bookmarkStart w:id="28" w:name="risk-management"/>
    <w:p>
      <w:pPr>
        <w:pStyle w:val="Heading2"/>
      </w:pPr>
      <w:r>
        <w:t xml:space="preserve">6. Risk Management</w:t>
      </w:r>
    </w:p>
    <w:p>
      <w:pPr>
        <w:pStyle w:val="FirstParagraph"/>
      </w:pPr>
      <w:r>
        <w:t xml:space="preserve">Potential risks include electrical shock, arc flash, and equipment failure. Mitigation strategies include the use of remote-controlled switching mechanisms where possible, continuous monitoring by a safety officer, and the immediate availability of medical personnel trained in electrical trauma. The experiment will be halted immediately if any safety protocol is violated or if environmental conditions in Moscow become unsafe (e.g., extreme wind or precipitation).</w:t>
      </w:r>
    </w:p>
    <w:bookmarkEnd w:id="28"/>
    <w:bookmarkStart w:id="29" w:name="conclusion-and-reporting"/>
    <w:p>
      <w:pPr>
        <w:pStyle w:val="Heading2"/>
      </w:pPr>
      <w:r>
        <w:t xml:space="preserve">7. Conclusion and Reporting</w:t>
      </w:r>
    </w:p>
    <w:p>
      <w:pPr>
        <w:pStyle w:val="FirstParagraph"/>
      </w:pPr>
      <w:r>
        <w:t xml:space="preserve">Upon completion of the experiment, a comprehensive report will be generated. This report will analyze the electrician's performance against the established metrics and provide recommendations for training improvements. The findings will be submitted to the relevant authorities in Moscow to ensure that the electrical workforce is adequately prepared to maintain the reliability and safety of the city's power grid. This protocol serves as a critical tool in advancing the standards of electrical engineering practice in Russia.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in Moscow</dc:title>
  <dc:creator/>
  <dc:language>en</dc:language>
  <cp:keywords/>
  <dcterms:created xsi:type="dcterms:W3CDTF">2026-10-10T02:58:12Z</dcterms:created>
  <dcterms:modified xsi:type="dcterms:W3CDTF">2026-10-10T02:58:12Z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