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Infrastructure</w:t>
      </w:r>
      <w:r>
        <w:t xml:space="preserve"> </w:t>
      </w:r>
      <w:r>
        <w:t xml:space="preserve">Resilience</w:t>
      </w:r>
      <w:r>
        <w:t xml:space="preserve"> </w:t>
      </w:r>
      <w:r>
        <w:t xml:space="preserve">in</w:t>
      </w:r>
      <w:r>
        <w:t xml:space="preserve"> </w:t>
      </w:r>
      <w:r>
        <w:t xml:space="preserve">Caracas</w:t>
      </w:r>
    </w:p>
    <w:bookmarkStart w:id="20" w:name="Xc8e508c7d40c45da11f198cec71dcb98862f2f3"/>
    <w:p>
      <w:pPr>
        <w:pStyle w:val="Heading1"/>
      </w:pPr>
      <w:r>
        <w:t xml:space="preserve">Experiment Protocol: Electrical Infrastructure Resilience and Load Management</w:t>
      </w:r>
    </w:p>
    <w:p>
      <w:pPr>
        <w:pStyle w:val="FirstParagraph"/>
      </w:pPr>
      <w:r>
        <w:t xml:space="preserve">Field Study for Professional Electricians in Venezuela Caracas</w:t>
      </w:r>
    </w:p>
    <w:bookmarkEnd w:id="20"/>
    <w:p>
      <w:pPr>
        <w:pStyle w:val="BodyText"/>
      </w:pPr>
      <w:r>
        <w:rPr>
          <w:bCs/>
          <w:b/>
        </w:rPr>
        <w:t xml:space="preserve">Protocol ID:</w:t>
      </w:r>
      <w:r>
        <w:t xml:space="preserve"> </w:t>
      </w:r>
      <w:r>
        <w:t xml:space="preserve">EPR-CAC-2023-04</w:t>
      </w:r>
    </w:p>
    <w:p>
      <w:pPr>
        <w:pStyle w:val="BodyText"/>
      </w:pPr>
      <w:r>
        <w:rPr>
          <w:bCs/>
          <w:b/>
        </w:rPr>
        <w:t xml:space="preserve">Location:</w:t>
      </w:r>
      <w:r>
        <w:t xml:space="preserve"> </w:t>
      </w:r>
      <w:r>
        <w:t xml:space="preserve">Caracas, Venezuela (Target Zones: Altamira, Chacao, El Hatillo)</w:t>
      </w:r>
    </w:p>
    <w:p>
      <w:pPr>
        <w:pStyle w:val="BodyText"/>
      </w:pPr>
      <w:r>
        <w:rPr>
          <w:bCs/>
          <w:b/>
        </w:rPr>
        <w:t xml:space="preserve">Target Audience:</w:t>
      </w:r>
      <w:r>
        <w:t xml:space="preserve"> </w:t>
      </w:r>
      <w:r>
        <w:t xml:space="preserve">Licensed Electricians, Electrical Engineers, Utility Technicians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1" w:name="introduction-and-objective"/>
    <w:p>
      <w:pPr>
        <w:pStyle w:val="Heading2"/>
      </w:pPr>
      <w:r>
        <w:t xml:space="preserve">1. Introduction and Objective</w:t>
      </w:r>
    </w:p>
    <w:p>
      <w:pPr>
        <w:pStyle w:val="FirstParagraph"/>
      </w:pPr>
      <w:r>
        <w:t xml:space="preserve">The electrical grid in Venezuela Caracas faces unique challenges characterized by frequent voltage fluctuations, intermittent supply, and the widespread integration of private backup power systems. This Experiment Protocol is designed to evaluate the performance of residential electrical installations under simulated grid instability conditions. The primary objective is to assess the efficacy of surge protection devices, voltage regulators, and automatic transfer switches (ATS) commonly installed by electricians in the region.</w:t>
      </w:r>
    </w:p>
    <w:p>
      <w:pPr>
        <w:pStyle w:val="BodyText"/>
      </w:pPr>
      <w:r>
        <w:t xml:space="preserve">This study aims to provide empirical data on how modern electrical components withstand the specific stressors found in Caracas, thereby improving safety standards and installation practices for electricians working in this environment.</w:t>
      </w:r>
    </w:p>
    <w:bookmarkEnd w:id="21"/>
    <w:bookmarkStart w:id="22" w:name="scope-and-context"/>
    <w:p>
      <w:pPr>
        <w:pStyle w:val="Heading2"/>
      </w:pPr>
      <w:r>
        <w:t xml:space="preserve">2. Scope and Context</w:t>
      </w:r>
    </w:p>
    <w:p>
      <w:pPr>
        <w:pStyle w:val="FirstParagraph"/>
      </w:pPr>
      <w:r>
        <w:t xml:space="preserve">This protocol applies specifically to residential and small commercial electrical systems in Caracas. The context includes:</w:t>
      </w:r>
    </w:p>
    <w:p>
      <w:pPr>
        <w:numPr>
          <w:ilvl w:val="0"/>
          <w:numId w:val="1001"/>
        </w:numPr>
        <w:pStyle w:val="Compact"/>
      </w:pPr>
      <w:r>
        <w:rPr>
          <w:bCs/>
          <w:b/>
        </w:rPr>
        <w:t xml:space="preserve">Grid Instability:</w:t>
      </w:r>
      <w:r>
        <w:t xml:space="preserve"> </w:t>
      </w:r>
      <w:r>
        <w:t xml:space="preserve">Simulating voltage sags (brownouts) and surges typical of the local distribution network.</w:t>
      </w:r>
    </w:p>
    <w:p>
      <w:pPr>
        <w:numPr>
          <w:ilvl w:val="0"/>
          <w:numId w:val="1001"/>
        </w:numPr>
        <w:pStyle w:val="Compact"/>
      </w:pPr>
      <w:r>
        <w:rPr>
          <w:bCs/>
          <w:b/>
        </w:rPr>
        <w:t xml:space="preserve">Hybrid Systems:</w:t>
      </w:r>
      <w:r>
        <w:t xml:space="preserve"> </w:t>
      </w:r>
      <w:r>
        <w:t xml:space="preserve">Testing the interaction between the public grid (Corpoelec) and private generators or solar inverters.</w:t>
      </w:r>
    </w:p>
    <w:p>
      <w:pPr>
        <w:numPr>
          <w:ilvl w:val="0"/>
          <w:numId w:val="1001"/>
        </w:numPr>
        <w:pStyle w:val="Compact"/>
      </w:pPr>
      <w:r>
        <w:rPr>
          <w:bCs/>
          <w:b/>
        </w:rPr>
        <w:t xml:space="preserve">Environmental Factors:</w:t>
      </w:r>
      <w:r>
        <w:t xml:space="preserve"> </w:t>
      </w:r>
      <w:r>
        <w:t xml:space="preserve">Accounting for the tropical climate of Caracas, which affects equipment longevity and insulation resistance.</w:t>
      </w:r>
    </w:p>
    <w:bookmarkEnd w:id="22"/>
    <w:bookmarkStart w:id="23" w:name="safety-precautions"/>
    <w:p>
      <w:pPr>
        <w:pStyle w:val="Heading2"/>
      </w:pPr>
      <w:r>
        <w:t xml:space="preserve">3. Safety Precautions</w:t>
      </w:r>
    </w:p>
    <w:p>
      <w:pPr>
        <w:pStyle w:val="FirstParagraph"/>
      </w:pPr>
      <w:r>
        <w:rPr>
          <w:bCs/>
          <w:b/>
        </w:rPr>
        <w:t xml:space="preserve">WARNING:</w:t>
      </w:r>
      <w:r>
        <w:t xml:space="preserve"> </w:t>
      </w:r>
      <w:r>
        <w:t xml:space="preserve">This experiment involves high-voltage electricity. Only qualified electricians with valid certifications in Venezuela should perform these tests. Strict adherence to NFPA 70E and local Venezuelan electrical codes is mandatory.</w:t>
      </w:r>
    </w:p>
    <w:p>
      <w:pPr>
        <w:numPr>
          <w:ilvl w:val="0"/>
          <w:numId w:val="1002"/>
        </w:numPr>
        <w:pStyle w:val="Compact"/>
      </w:pPr>
      <w:r>
        <w:t xml:space="preserve">Ensure all personnel wear appropriate Personal Protective Equipment (PPE), including insulated gloves, arc-flash suits, and safety glasses.</w:t>
      </w:r>
    </w:p>
    <w:p>
      <w:pPr>
        <w:numPr>
          <w:ilvl w:val="0"/>
          <w:numId w:val="1002"/>
        </w:numPr>
        <w:pStyle w:val="Compact"/>
      </w:pPr>
      <w:r>
        <w:t xml:space="preserve">Verify that all test equipment is calibrated and rated for the voltages involved (110V/220V systems).</w:t>
      </w:r>
    </w:p>
    <w:p>
      <w:pPr>
        <w:numPr>
          <w:ilvl w:val="0"/>
          <w:numId w:val="1002"/>
        </w:numPr>
        <w:pStyle w:val="Compact"/>
      </w:pPr>
      <w:r>
        <w:t xml:space="preserve">Establish a clear emergency shutdown procedure before beginning any test.</w:t>
      </w:r>
    </w:p>
    <w:p>
      <w:pPr>
        <w:numPr>
          <w:ilvl w:val="0"/>
          <w:numId w:val="1002"/>
        </w:numPr>
        <w:pStyle w:val="Compact"/>
      </w:pPr>
      <w:r>
        <w:t xml:space="preserve">Ensure fire extinguishing equipment (Class C) is readily available on-site.</w:t>
      </w:r>
    </w:p>
    <w:bookmarkEnd w:id="23"/>
    <w:bookmarkStart w:id="24"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Variable AC Power Supply</w:t>
            </w:r>
          </w:p>
        </w:tc>
        <w:tc>
          <w:tcPr/>
          <w:p>
            <w:pPr>
              <w:pStyle w:val="Compact"/>
              <w:jc w:val="left"/>
            </w:pPr>
            <w:r>
              <w:t xml:space="preserve">0-250V, 50/60Hz, 10kVA</w:t>
            </w:r>
          </w:p>
        </w:tc>
        <w:tc>
          <w:tcPr/>
          <w:p>
            <w:pPr>
              <w:pStyle w:val="Compact"/>
              <w:jc w:val="left"/>
            </w:pPr>
            <w:r>
              <w:t xml:space="preserve">1</w:t>
            </w:r>
          </w:p>
        </w:tc>
      </w:tr>
      <w:tr>
        <w:tc>
          <w:tcPr/>
          <w:p>
            <w:pPr>
              <w:pStyle w:val="Compact"/>
              <w:jc w:val="left"/>
            </w:pPr>
            <w:r>
              <w:t xml:space="preserve">Digital Multimeter (CAT III)</w:t>
            </w:r>
          </w:p>
        </w:tc>
        <w:tc>
          <w:tcPr/>
          <w:p>
            <w:pPr>
              <w:pStyle w:val="Compact"/>
              <w:jc w:val="left"/>
            </w:pPr>
            <w:r>
              <w:t xml:space="preserve">High precision, true RMS</w:t>
            </w:r>
          </w:p>
        </w:tc>
        <w:tc>
          <w:tcPr/>
          <w:p>
            <w:pPr>
              <w:pStyle w:val="Compact"/>
              <w:jc w:val="left"/>
            </w:pPr>
            <w:r>
              <w:t xml:space="preserve">2</w:t>
            </w:r>
          </w:p>
        </w:tc>
      </w:tr>
      <w:tr>
        <w:tc>
          <w:tcPr/>
          <w:p>
            <w:pPr>
              <w:pStyle w:val="Compact"/>
              <w:jc w:val="left"/>
            </w:pPr>
            <w:r>
              <w:t xml:space="preserve">Oscilloscope</w:t>
            </w:r>
          </w:p>
        </w:tc>
        <w:tc>
          <w:tcPr/>
          <w:p>
            <w:pPr>
              <w:pStyle w:val="Compact"/>
              <w:jc w:val="left"/>
            </w:pPr>
            <w:r>
              <w:t xml:space="preserve">Minimum 100MHz bandwidth</w:t>
            </w:r>
          </w:p>
        </w:tc>
        <w:tc>
          <w:tcPr/>
          <w:p>
            <w:pPr>
              <w:pStyle w:val="Compact"/>
              <w:jc w:val="left"/>
            </w:pPr>
            <w:r>
              <w:t xml:space="preserve">1</w:t>
            </w:r>
          </w:p>
        </w:tc>
      </w:tr>
      <w:tr>
        <w:tc>
          <w:tcPr/>
          <w:p>
            <w:pPr>
              <w:pStyle w:val="Compact"/>
              <w:jc w:val="left"/>
            </w:pPr>
            <w:r>
              <w:t xml:space="preserve">Surge Protection Devices (SPDs)</w:t>
            </w:r>
          </w:p>
        </w:tc>
        <w:tc>
          <w:tcPr/>
          <w:p>
            <w:pPr>
              <w:pStyle w:val="Compact"/>
              <w:jc w:val="left"/>
            </w:pPr>
            <w:r>
              <w:t xml:space="preserve">Type 1 and Type 2, various brands</w:t>
            </w:r>
          </w:p>
        </w:tc>
        <w:tc>
          <w:tcPr/>
          <w:p>
            <w:pPr>
              <w:pStyle w:val="Compact"/>
              <w:jc w:val="left"/>
            </w:pPr>
            <w:r>
              <w:t xml:space="preserve">5</w:t>
            </w:r>
          </w:p>
        </w:tc>
      </w:tr>
      <w:tr>
        <w:tc>
          <w:tcPr/>
          <w:p>
            <w:pPr>
              <w:pStyle w:val="Compact"/>
              <w:jc w:val="left"/>
            </w:pPr>
            <w:r>
              <w:t xml:space="preserve">Automatic Transfer Switch (ATS)</w:t>
            </w:r>
          </w:p>
        </w:tc>
        <w:tc>
          <w:tcPr/>
          <w:p>
            <w:pPr>
              <w:pStyle w:val="Compact"/>
              <w:jc w:val="left"/>
            </w:pPr>
            <w:r>
              <w:t xml:space="preserve">Residential grade, 40A</w:t>
            </w:r>
          </w:p>
        </w:tc>
        <w:tc>
          <w:tcPr/>
          <w:p>
            <w:pPr>
              <w:pStyle w:val="Compact"/>
              <w:jc w:val="left"/>
            </w:pPr>
            <w:r>
              <w:t xml:space="preserve">2</w:t>
            </w:r>
          </w:p>
        </w:tc>
      </w:tr>
      <w:tr>
        <w:tc>
          <w:tcPr/>
          <w:p>
            <w:pPr>
              <w:pStyle w:val="Compact"/>
              <w:jc w:val="left"/>
            </w:pPr>
            <w:r>
              <w:t xml:space="preserve">Load Bank</w:t>
            </w:r>
          </w:p>
        </w:tc>
        <w:tc>
          <w:tcPr/>
          <w:p>
            <w:pPr>
              <w:pStyle w:val="Compact"/>
              <w:jc w:val="left"/>
            </w:pPr>
            <w:r>
              <w:t xml:space="preserve">Resistive, adjustable up to 5kW</w:t>
            </w:r>
          </w:p>
        </w:tc>
        <w:tc>
          <w:tcPr/>
          <w:p>
            <w:pPr>
              <w:pStyle w:val="Compact"/>
              <w:jc w:val="left"/>
            </w:pPr>
            <w:r>
              <w:t xml:space="preserve">1</w:t>
            </w:r>
          </w:p>
        </w:tc>
      </w:tr>
    </w:tbl>
    <w:bookmarkEnd w:id="24"/>
    <w:bookmarkStart w:id="30" w:name="methodology"/>
    <w:p>
      <w:pPr>
        <w:pStyle w:val="Heading2"/>
      </w:pPr>
      <w:r>
        <w:t xml:space="preserve">5. Methodology</w:t>
      </w:r>
    </w:p>
    <w:bookmarkStart w:id="25" w:name="site-preparation"/>
    <w:p>
      <w:pPr>
        <w:pStyle w:val="Heading3"/>
      </w:pPr>
      <w:r>
        <w:t xml:space="preserve">5.1. Site Preparation</w:t>
      </w:r>
    </w:p>
    <w:p>
      <w:pPr>
        <w:pStyle w:val="FirstParagraph"/>
      </w:pPr>
      <w:r>
        <w:t xml:space="preserve">Select a controlled environment or a dedicated test panel in a residential building in Caracas. Isolate the test circuit from the main grid to prevent back-feeding. Install the variable AC power supply as the primary source, capable of mimicking grid conditions.</w:t>
      </w:r>
    </w:p>
    <w:bookmarkEnd w:id="25"/>
    <w:bookmarkStart w:id="26" w:name="baseline-measurement"/>
    <w:p>
      <w:pPr>
        <w:pStyle w:val="Heading3"/>
      </w:pPr>
      <w:r>
        <w:t xml:space="preserve">5.2. Baseline Measurement</w:t>
      </w:r>
    </w:p>
    <w:p>
      <w:pPr>
        <w:pStyle w:val="FirstParagraph"/>
      </w:pPr>
      <w:r>
        <w:t xml:space="preserve">With the system connected to a stable 120V/240V supply, record baseline readings for voltage, current, and frequency. Measure the insulation resistance of all cables and connections using a megohmmeter. Document the initial state of all protective devices.</w:t>
      </w:r>
    </w:p>
    <w:bookmarkEnd w:id="26"/>
    <w:bookmarkStart w:id="27" w:name="voltage-fluctuation-test"/>
    <w:p>
      <w:pPr>
        <w:pStyle w:val="Heading3"/>
      </w:pPr>
      <w:r>
        <w:t xml:space="preserve">5.3. Voltage Fluctuation Test</w:t>
      </w:r>
    </w:p>
    <w:p>
      <w:pPr>
        <w:pStyle w:val="FirstParagraph"/>
      </w:pPr>
      <w:r>
        <w:t xml:space="preserve">Gradually reduce the input voltage from 120V to 80V over a period of 10 minutes to simulate a brownout. Monitor the performance of connected appliances and the response of voltage stabilizers. Record the point at which devices shut down or malfunction. Then, rapidly increase the voltage to 150V to simulate a surge, observing the activation of surge protectors.</w:t>
      </w:r>
    </w:p>
    <w:bookmarkEnd w:id="27"/>
    <w:bookmarkStart w:id="28" w:name="transfer-switch-response-test"/>
    <w:p>
      <w:pPr>
        <w:pStyle w:val="Heading3"/>
      </w:pPr>
      <w:r>
        <w:t xml:space="preserve">5.4. Transfer Switch Response Test</w:t>
      </w:r>
    </w:p>
    <w:p>
      <w:pPr>
        <w:pStyle w:val="FirstParagraph"/>
      </w:pPr>
      <w:r>
        <w:t xml:space="preserve">Simulate a complete power failure by cutting the input from the variable supply. Measure the time delay before the ATS switches to the backup generator or inverter. The target response time for critical loads in Caracas should be less than 10 seconds. Record any voltage spikes during the transfer process.</w:t>
      </w:r>
    </w:p>
    <w:bookmarkEnd w:id="28"/>
    <w:bookmarkStart w:id="29" w:name="thermal-stress-test"/>
    <w:p>
      <w:pPr>
        <w:pStyle w:val="Heading3"/>
      </w:pPr>
      <w:r>
        <w:t xml:space="preserve">5.5. Thermal Stress Test</w:t>
      </w:r>
    </w:p>
    <w:p>
      <w:pPr>
        <w:pStyle w:val="FirstParagraph"/>
      </w:pPr>
      <w:r>
        <w:t xml:space="preserve">Operate the system at 110% of its rated load for 2 hours. Use thermal imaging cameras to identify hot spots in connections, breakers, and busbars. This is crucial for assessing the quality of installations in the humid climate of Caracas.</w:t>
      </w:r>
    </w:p>
    <w:bookmarkEnd w:id="29"/>
    <w:bookmarkEnd w:id="30"/>
    <w:bookmarkStart w:id="31" w:name="data-collection-and-analysis"/>
    <w:p>
      <w:pPr>
        <w:pStyle w:val="Heading2"/>
      </w:pPr>
      <w:r>
        <w:t xml:space="preserve">6. Data Collection and Analysis</w:t>
      </w:r>
    </w:p>
    <w:p>
      <w:pPr>
        <w:pStyle w:val="FirstParagraph"/>
      </w:pPr>
      <w:r>
        <w:t xml:space="preserve">All data must be recorded in a standardized logbook. Key metrics include:</w:t>
      </w:r>
    </w:p>
    <w:p>
      <w:pPr>
        <w:numPr>
          <w:ilvl w:val="0"/>
          <w:numId w:val="1003"/>
        </w:numPr>
        <w:pStyle w:val="Compact"/>
      </w:pPr>
      <w:r>
        <w:t xml:space="preserve">Response time of protective devices.</w:t>
      </w:r>
    </w:p>
    <w:p>
      <w:pPr>
        <w:numPr>
          <w:ilvl w:val="0"/>
          <w:numId w:val="1003"/>
        </w:numPr>
        <w:pStyle w:val="Compact"/>
      </w:pPr>
      <w:r>
        <w:t xml:space="preserve">Voltage levels at which equipment fails or resets.</w:t>
      </w:r>
    </w:p>
    <w:p>
      <w:pPr>
        <w:numPr>
          <w:ilvl w:val="0"/>
          <w:numId w:val="1003"/>
        </w:numPr>
        <w:pStyle w:val="Compact"/>
      </w:pPr>
      <w:r>
        <w:t xml:space="preserve">Temperature rise in critical components.</w:t>
      </w:r>
    </w:p>
    <w:p>
      <w:pPr>
        <w:numPr>
          <w:ilvl w:val="0"/>
          <w:numId w:val="1003"/>
        </w:numPr>
        <w:pStyle w:val="Compact"/>
      </w:pPr>
      <w:r>
        <w:t xml:space="preserve">Frequency of nuisance tripping.</w:t>
      </w:r>
    </w:p>
    <w:p>
      <w:pPr>
        <w:pStyle w:val="FirstParagraph"/>
      </w:pPr>
      <w:r>
        <w:t xml:space="preserve">After the experiment, analyze the data to determine the reliability of the tested components. Compare results against manufacturer specifications and local performance expectations.</w:t>
      </w:r>
    </w:p>
    <w:bookmarkEnd w:id="31"/>
    <w:bookmarkStart w:id="32" w:name="conclusion-and-reporting"/>
    <w:p>
      <w:pPr>
        <w:pStyle w:val="Heading2"/>
      </w:pPr>
      <w:r>
        <w:t xml:space="preserve">7. Conclusion and Reporting</w:t>
      </w:r>
    </w:p>
    <w:p>
      <w:pPr>
        <w:pStyle w:val="FirstParagraph"/>
      </w:pPr>
      <w:r>
        <w:t xml:space="preserve">Upon completion of the tests, compile a detailed report summarizing the findings. Highlight any safety concerns, component failures, or best practices observed. This report will serve as a reference for electricians in Venezuela Caracas to improve installation standards and enhance the resilience of electrical systems against grid instability.</w:t>
      </w:r>
    </w:p>
    <w:p>
      <w:pPr>
        <w:pStyle w:val="BodyText"/>
      </w:pPr>
      <w:r>
        <w:t xml:space="preserve">© 2023 Electrical Research Group Caracas. All rights reserved. This document is for educational and professional use only.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Infrastructure Resilience in Caracas</dc:title>
  <dc:creator/>
  <dc:language>en</dc:language>
  <cp:keywords/>
  <dcterms:created xsi:type="dcterms:W3CDTF">2026-10-10T04:33:50Z</dcterms:created>
  <dcterms:modified xsi:type="dcterms:W3CDTF">2026-10-10T04:33:50Z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