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High-Frequency Signal Integrity Analysis in Mixed-Signal PCB Designs</w:t>
      </w:r>
    </w:p>
    <w:p>
      <w:pPr>
        <w:pStyle w:val="BodyText"/>
      </w:pPr>
      <w:r>
        <w:rPr>
          <w:bCs/>
          <w:b/>
        </w:rPr>
        <w:t xml:space="preserve">Location:</w:t>
      </w:r>
      <w:r>
        <w:t xml:space="preserve"> </w:t>
      </w:r>
      <w:r>
        <w:t xml:space="preserve">Canada Montreal, Quebec</w:t>
      </w:r>
    </w:p>
    <w:p>
      <w:pPr>
        <w:pStyle w:val="BodyText"/>
      </w:pPr>
      <w:r>
        <w:rPr>
          <w:bCs/>
          <w:b/>
        </w:rPr>
        <w:t xml:space="preserve">Prepared By:</w:t>
      </w:r>
      <w:r>
        <w:t xml:space="preserve"> </w:t>
      </w:r>
      <w:r>
        <w:t xml:space="preserve">Lead Electronics Engineer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to be followed by the Electronics Engineer team based in Canada Montreal for the evaluation of signal integrity in high-speed mixed-signal printed circuit boards (PCBs). The primary objective is to ensure that the designed circuits meet the stringent performance requirements set by international standards and local regulations applicable in Quebec, Canada.</w:t>
      </w:r>
    </w:p>
    <w:p>
      <w:pPr>
        <w:pStyle w:val="BodyText"/>
      </w:pPr>
      <w:r>
        <w:t xml:space="preserve">The experiment aims to:</w:t>
      </w:r>
    </w:p>
    <w:p>
      <w:pPr>
        <w:numPr>
          <w:ilvl w:val="0"/>
          <w:numId w:val="1001"/>
        </w:numPr>
        <w:pStyle w:val="Compact"/>
      </w:pPr>
      <w:r>
        <w:t xml:space="preserve">Assess the signal integrity of high-frequency traces on the PCB.</w:t>
      </w:r>
    </w:p>
    <w:p>
      <w:pPr>
        <w:numPr>
          <w:ilvl w:val="0"/>
          <w:numId w:val="1001"/>
        </w:numPr>
        <w:pStyle w:val="Compact"/>
      </w:pPr>
      <w:r>
        <w:t xml:space="preserve">Identify and mitigate potential sources of electromagnetic interference (EMI).</w:t>
      </w:r>
    </w:p>
    <w:p>
      <w:pPr>
        <w:numPr>
          <w:ilvl w:val="0"/>
          <w:numId w:val="1001"/>
        </w:numPr>
        <w:pStyle w:val="Compact"/>
      </w:pPr>
      <w:r>
        <w:t xml:space="preserve">Validate the design against the Canadian Standards Association (CSA) guidelines.</w:t>
      </w:r>
    </w:p>
    <w:p>
      <w:pPr>
        <w:numPr>
          <w:ilvl w:val="0"/>
          <w:numId w:val="1001"/>
        </w:numPr>
        <w:pStyle w:val="Compact"/>
      </w:pPr>
      <w:r>
        <w:t xml:space="preserve">Ensure compliance with the Occupational Health and Safety Regulations of Quebec.</w:t>
      </w:r>
    </w:p>
    <w:bookmarkEnd w:id="21"/>
    <w:bookmarkStart w:id="22" w:name="scope-and-responsibilities"/>
    <w:p>
      <w:pPr>
        <w:pStyle w:val="Heading2"/>
      </w:pPr>
      <w:r>
        <w:t xml:space="preserve">2. Scope and Responsibilities</w:t>
      </w:r>
    </w:p>
    <w:p>
      <w:pPr>
        <w:pStyle w:val="FirstParagraph"/>
      </w:pPr>
      <w:r>
        <w:t xml:space="preserve">This protocol applies to all Electronics Engineers and technical staff involved in the project at the Canada Montreal facility. The responsibilities are as follows:</w:t>
      </w:r>
    </w:p>
    <w:p>
      <w:pPr>
        <w:numPr>
          <w:ilvl w:val="0"/>
          <w:numId w:val="1002"/>
        </w:numPr>
        <w:pStyle w:val="Compact"/>
      </w:pPr>
      <w:r>
        <w:rPr>
          <w:bCs/>
          <w:b/>
        </w:rPr>
        <w:t xml:space="preserve">Lead Electronics Engineer:</w:t>
      </w:r>
      <w:r>
        <w:t xml:space="preserve"> </w:t>
      </w:r>
      <w:r>
        <w:t xml:space="preserve">Oversees the entire experiment, ensures adherence to the protocol, and approves final results.</w:t>
      </w:r>
    </w:p>
    <w:p>
      <w:pPr>
        <w:numPr>
          <w:ilvl w:val="0"/>
          <w:numId w:val="1002"/>
        </w:numPr>
        <w:pStyle w:val="Compact"/>
      </w:pPr>
      <w:r>
        <w:rPr>
          <w:bCs/>
          <w:b/>
        </w:rPr>
        <w:t xml:space="preserve">Test Engineers:</w:t>
      </w:r>
      <w:r>
        <w:t xml:space="preserve"> </w:t>
      </w:r>
      <w:r>
        <w:t xml:space="preserve">Conduct the experiments, record data, and report any anomalies.</w:t>
      </w:r>
    </w:p>
    <w:p>
      <w:pPr>
        <w:numPr>
          <w:ilvl w:val="0"/>
          <w:numId w:val="1002"/>
        </w:numPr>
        <w:pStyle w:val="Compact"/>
      </w:pPr>
      <w:r>
        <w:rPr>
          <w:bCs/>
          <w:b/>
        </w:rPr>
        <w:t xml:space="preserve">Safety Officer:</w:t>
      </w:r>
      <w:r>
        <w:t xml:space="preserve"> </w:t>
      </w:r>
      <w:r>
        <w:t xml:space="preserve">Ensures that all safety protocols are followed and that the workspace complies with local regulations.</w:t>
      </w:r>
    </w:p>
    <w:p>
      <w:pPr>
        <w:numPr>
          <w:ilvl w:val="0"/>
          <w:numId w:val="1002"/>
        </w:numPr>
        <w:pStyle w:val="Compact"/>
      </w:pPr>
      <w:r>
        <w:rPr>
          <w:bCs/>
          <w:b/>
        </w:rPr>
        <w:t xml:space="preserve">Quality Assurance:</w:t>
      </w:r>
      <w:r>
        <w:t xml:space="preserve"> </w:t>
      </w:r>
      <w:r>
        <w:t xml:space="preserve">Reviews the data and ensures that the results meet the required standards.</w:t>
      </w:r>
    </w:p>
    <w:bookmarkEnd w:id="22"/>
    <w:bookmarkStart w:id="23" w:name="equipment-and-materials"/>
    <w:p>
      <w:pPr>
        <w:pStyle w:val="Heading2"/>
      </w:pPr>
      <w:r>
        <w:t xml:space="preserve">3.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Oscilloscope</w:t>
            </w:r>
          </w:p>
        </w:tc>
        <w:tc>
          <w:tcPr/>
          <w:p>
            <w:pPr>
              <w:pStyle w:val="Compact"/>
              <w:jc w:val="left"/>
            </w:pPr>
            <w:r>
              <w:t xml:space="preserve">High-bandwidth digital oscilloscope (minimum 5 GHz)</w:t>
            </w:r>
          </w:p>
        </w:tc>
        <w:tc>
          <w:tcPr/>
          <w:p>
            <w:pPr>
              <w:pStyle w:val="Compact"/>
              <w:jc w:val="left"/>
            </w:pPr>
            <w:r>
              <w:t xml:space="preserve">2</w:t>
            </w:r>
          </w:p>
        </w:tc>
      </w:tr>
      <w:tr>
        <w:tc>
          <w:tcPr/>
          <w:p>
            <w:pPr>
              <w:pStyle w:val="Compact"/>
              <w:jc w:val="left"/>
            </w:pPr>
            <w:r>
              <w:t xml:space="preserve">Signal Generator</w:t>
            </w:r>
          </w:p>
        </w:tc>
        <w:tc>
          <w:tcPr/>
          <w:p>
            <w:pPr>
              <w:pStyle w:val="Compact"/>
              <w:jc w:val="left"/>
            </w:pPr>
            <w:r>
              <w:t xml:space="preserve">Arbitrary waveform generator (minimum 3 GHz)</w:t>
            </w:r>
          </w:p>
        </w:tc>
        <w:tc>
          <w:tcPr/>
          <w:p>
            <w:pPr>
              <w:pStyle w:val="Compact"/>
              <w:jc w:val="left"/>
            </w:pPr>
            <w:r>
              <w:t xml:space="preserve">1</w:t>
            </w:r>
          </w:p>
        </w:tc>
      </w:tr>
      <w:tr>
        <w:tc>
          <w:tcPr/>
          <w:p>
            <w:pPr>
              <w:pStyle w:val="Compact"/>
              <w:jc w:val="left"/>
            </w:pPr>
            <w:r>
              <w:t xml:space="preserve">Network Analyzer</w:t>
            </w:r>
          </w:p>
        </w:tc>
        <w:tc>
          <w:tcPr/>
          <w:p>
            <w:pPr>
              <w:pStyle w:val="Compact"/>
              <w:jc w:val="left"/>
            </w:pPr>
            <w:r>
              <w:t xml:space="preserve">Vector network analyzer (VNA) for S-parameter measurements</w:t>
            </w:r>
          </w:p>
        </w:tc>
        <w:tc>
          <w:tcPr/>
          <w:p>
            <w:pPr>
              <w:pStyle w:val="Compact"/>
              <w:jc w:val="left"/>
            </w:pPr>
            <w:r>
              <w:t xml:space="preserve">1</w:t>
            </w:r>
          </w:p>
        </w:tc>
      </w:tr>
      <w:tr>
        <w:tc>
          <w:tcPr/>
          <w:p>
            <w:pPr>
              <w:pStyle w:val="Compact"/>
              <w:jc w:val="left"/>
            </w:pPr>
            <w:r>
              <w:t xml:space="preserve">PCB Prototypes</w:t>
            </w:r>
          </w:p>
        </w:tc>
        <w:tc>
          <w:tcPr/>
          <w:p>
            <w:pPr>
              <w:pStyle w:val="Compact"/>
              <w:jc w:val="left"/>
            </w:pPr>
            <w:r>
              <w:t xml:space="preserve">Mixed-signal PCB designs under test</w:t>
            </w:r>
          </w:p>
        </w:tc>
        <w:tc>
          <w:tcPr/>
          <w:p>
            <w:pPr>
              <w:pStyle w:val="Compact"/>
              <w:jc w:val="left"/>
            </w:pPr>
            <w:r>
              <w:t xml:space="preserve">5</w:t>
            </w:r>
          </w:p>
        </w:tc>
      </w:tr>
      <w:tr>
        <w:tc>
          <w:tcPr/>
          <w:p>
            <w:pPr>
              <w:pStyle w:val="Compact"/>
              <w:jc w:val="left"/>
            </w:pPr>
            <w:r>
              <w:t xml:space="preserve">Probes</w:t>
            </w:r>
          </w:p>
        </w:tc>
        <w:tc>
          <w:tcPr/>
          <w:p>
            <w:pPr>
              <w:pStyle w:val="Compact"/>
              <w:jc w:val="left"/>
            </w:pPr>
            <w:r>
              <w:t xml:space="preserve">High-frequency active probes</w:t>
            </w:r>
          </w:p>
        </w:tc>
        <w:tc>
          <w:tcPr/>
          <w:p>
            <w:pPr>
              <w:pStyle w:val="Compact"/>
              <w:jc w:val="left"/>
            </w:pPr>
            <w:r>
              <w:t xml:space="preserve">4</w:t>
            </w:r>
          </w:p>
        </w:tc>
      </w:tr>
      <w:tr>
        <w:tc>
          <w:tcPr/>
          <w:p>
            <w:pPr>
              <w:pStyle w:val="Compact"/>
              <w:jc w:val="left"/>
            </w:pPr>
            <w:r>
              <w:t xml:space="preserve">Power Supply</w:t>
            </w:r>
          </w:p>
        </w:tc>
        <w:tc>
          <w:tcPr/>
          <w:p>
            <w:pPr>
              <w:pStyle w:val="Compact"/>
              <w:jc w:val="left"/>
            </w:pPr>
            <w:r>
              <w:t xml:space="preserve">Programmable DC power supply</w:t>
            </w:r>
          </w:p>
        </w:tc>
        <w:tc>
          <w:tcPr/>
          <w:p>
            <w:pPr>
              <w:pStyle w:val="Compact"/>
              <w:jc w:val="left"/>
            </w:pPr>
            <w:r>
              <w:t xml:space="preserve">2</w:t>
            </w:r>
          </w:p>
        </w:tc>
      </w:tr>
      <w:tr>
        <w:tc>
          <w:tcPr/>
          <w:p>
            <w:pPr>
              <w:pStyle w:val="Compact"/>
              <w:jc w:val="left"/>
            </w:pPr>
            <w:r>
              <w:t xml:space="preserve">EMI Chamber</w:t>
            </w:r>
          </w:p>
        </w:tc>
        <w:tc>
          <w:tcPr/>
          <w:p>
            <w:pPr>
              <w:pStyle w:val="Compact"/>
              <w:jc w:val="left"/>
            </w:pPr>
            <w:r>
              <w:t xml:space="preserve">Semi-anechoic chamber for EMI testing</w:t>
            </w:r>
          </w:p>
        </w:tc>
        <w:tc>
          <w:tcPr/>
          <w:p>
            <w:pPr>
              <w:pStyle w:val="Compact"/>
              <w:jc w:val="left"/>
            </w:pPr>
            <w:r>
              <w:t xml:space="preserve">1</w:t>
            </w:r>
          </w:p>
        </w:tc>
      </w:tr>
    </w:tbl>
    <w:bookmarkEnd w:id="23"/>
    <w:bookmarkStart w:id="24" w:name="safety-procedures"/>
    <w:p>
      <w:pPr>
        <w:pStyle w:val="Heading2"/>
      </w:pPr>
      <w:r>
        <w:t xml:space="preserve">4. Safety Procedures</w:t>
      </w:r>
    </w:p>
    <w:p>
      <w:pPr>
        <w:pStyle w:val="FirstParagraph"/>
      </w:pPr>
      <w:r>
        <w:t xml:space="preserve">Given the high-frequency nature of the signals and the potential for electrical hazards, the following safety procedures must be strictly followed:</w:t>
      </w:r>
    </w:p>
    <w:p>
      <w:pPr>
        <w:numPr>
          <w:ilvl w:val="0"/>
          <w:numId w:val="1003"/>
        </w:numPr>
        <w:pStyle w:val="Compact"/>
      </w:pPr>
      <w:r>
        <w:t xml:space="preserve">All personnel must wear appropriate personal protective equipment (PPE), including safety glasses and anti-static wrist straps.</w:t>
      </w:r>
    </w:p>
    <w:p>
      <w:pPr>
        <w:numPr>
          <w:ilvl w:val="0"/>
          <w:numId w:val="1003"/>
        </w:numPr>
        <w:pStyle w:val="Compact"/>
      </w:pPr>
      <w:r>
        <w:t xml:space="preserve">Ensure that all equipment is properly grounded to prevent electrical shocks.</w:t>
      </w:r>
    </w:p>
    <w:p>
      <w:pPr>
        <w:numPr>
          <w:ilvl w:val="0"/>
          <w:numId w:val="1003"/>
        </w:numPr>
        <w:pStyle w:val="Compact"/>
      </w:pPr>
      <w:r>
        <w:t xml:space="preserve">Do not touch live circuits or components during testing.</w:t>
      </w:r>
    </w:p>
    <w:p>
      <w:pPr>
        <w:numPr>
          <w:ilvl w:val="0"/>
          <w:numId w:val="1003"/>
        </w:numPr>
        <w:pStyle w:val="Compact"/>
      </w:pPr>
      <w:r>
        <w:t xml:space="preserve">Follow the lockout/tagout procedures when performing maintenance on equipment.</w:t>
      </w:r>
    </w:p>
    <w:p>
      <w:pPr>
        <w:numPr>
          <w:ilvl w:val="0"/>
          <w:numId w:val="1003"/>
        </w:numPr>
        <w:pStyle w:val="Compact"/>
      </w:pPr>
      <w:r>
        <w:t xml:space="preserve">Adhere to the Occupational Health and Safety Regulations of Quebec, including regular safety briefings and emergency drills.</w:t>
      </w:r>
    </w:p>
    <w:bookmarkEnd w:id="24"/>
    <w:bookmarkStart w:id="29" w:name="experimental-procedure"/>
    <w:p>
      <w:pPr>
        <w:pStyle w:val="Heading2"/>
      </w:pPr>
      <w:r>
        <w:t xml:space="preserve">5. Experimental Procedure</w:t>
      </w:r>
    </w:p>
    <w:bookmarkStart w:id="25" w:name="setup"/>
    <w:p>
      <w:pPr>
        <w:pStyle w:val="Heading3"/>
      </w:pPr>
      <w:r>
        <w:t xml:space="preserve">5.1 Setup</w:t>
      </w:r>
    </w:p>
    <w:p>
      <w:pPr>
        <w:numPr>
          <w:ilvl w:val="0"/>
          <w:numId w:val="1004"/>
        </w:numPr>
        <w:pStyle w:val="Compact"/>
      </w:pPr>
      <w:r>
        <w:t xml:space="preserve">Prepare the test environment by ensuring that all equipment is calibrated and functioning correctly.</w:t>
      </w:r>
    </w:p>
    <w:p>
      <w:pPr>
        <w:numPr>
          <w:ilvl w:val="0"/>
          <w:numId w:val="1004"/>
        </w:numPr>
        <w:pStyle w:val="Compact"/>
      </w:pPr>
      <w:r>
        <w:t xml:space="preserve">Place the PCB prototype on a non-conductive surface within the EMI chamber.</w:t>
      </w:r>
    </w:p>
    <w:p>
      <w:pPr>
        <w:numPr>
          <w:ilvl w:val="0"/>
          <w:numId w:val="1004"/>
        </w:numPr>
        <w:pStyle w:val="Compact"/>
      </w:pPr>
      <w:r>
        <w:t xml:space="preserve">Connect the signal generator to the input of the PCB and the oscilloscope to the output.</w:t>
      </w:r>
    </w:p>
    <w:p>
      <w:pPr>
        <w:numPr>
          <w:ilvl w:val="0"/>
          <w:numId w:val="1004"/>
        </w:numPr>
        <w:pStyle w:val="Compact"/>
      </w:pPr>
      <w:r>
        <w:t xml:space="preserve">Set up the network analyzer for S-parameter measurements.</w:t>
      </w:r>
    </w:p>
    <w:bookmarkEnd w:id="25"/>
    <w:bookmarkStart w:id="26" w:name="signal-integrity-testing"/>
    <w:p>
      <w:pPr>
        <w:pStyle w:val="Heading3"/>
      </w:pPr>
      <w:r>
        <w:t xml:space="preserve">5.2 Signal Integrity Testing</w:t>
      </w:r>
    </w:p>
    <w:p>
      <w:pPr>
        <w:numPr>
          <w:ilvl w:val="0"/>
          <w:numId w:val="1005"/>
        </w:numPr>
        <w:pStyle w:val="Compact"/>
      </w:pPr>
      <w:r>
        <w:t xml:space="preserve">Generate a high-frequency signal using the signal generator and apply it to the PCB.</w:t>
      </w:r>
    </w:p>
    <w:p>
      <w:pPr>
        <w:numPr>
          <w:ilvl w:val="0"/>
          <w:numId w:val="1005"/>
        </w:numPr>
        <w:pStyle w:val="Compact"/>
      </w:pPr>
      <w:r>
        <w:t xml:space="preserve">Observe the signal on the oscilloscope and record the waveform.</w:t>
      </w:r>
    </w:p>
    <w:p>
      <w:pPr>
        <w:numPr>
          <w:ilvl w:val="0"/>
          <w:numId w:val="1005"/>
        </w:numPr>
        <w:pStyle w:val="Compact"/>
      </w:pPr>
      <w:r>
        <w:t xml:space="preserve">Measure the rise time, fall time, and overshoot of the signal.</w:t>
      </w:r>
    </w:p>
    <w:p>
      <w:pPr>
        <w:numPr>
          <w:ilvl w:val="0"/>
          <w:numId w:val="1005"/>
        </w:numPr>
        <w:pStyle w:val="Compact"/>
      </w:pPr>
      <w:r>
        <w:t xml:space="preserve">Use the network analyzer to measure the S-parameters (S11, S21, etc.) of the PCB traces.</w:t>
      </w:r>
    </w:p>
    <w:p>
      <w:pPr>
        <w:numPr>
          <w:ilvl w:val="0"/>
          <w:numId w:val="1005"/>
        </w:numPr>
        <w:pStyle w:val="Compact"/>
      </w:pPr>
      <w:r>
        <w:t xml:space="preserve">Repeat the measurements for different frequencies and signal levels.</w:t>
      </w:r>
    </w:p>
    <w:bookmarkEnd w:id="26"/>
    <w:bookmarkStart w:id="27" w:name="emi-testing"/>
    <w:p>
      <w:pPr>
        <w:pStyle w:val="Heading3"/>
      </w:pPr>
      <w:r>
        <w:t xml:space="preserve">5.3 EMI Testing</w:t>
      </w:r>
    </w:p>
    <w:p>
      <w:pPr>
        <w:numPr>
          <w:ilvl w:val="0"/>
          <w:numId w:val="1006"/>
        </w:numPr>
        <w:pStyle w:val="Compact"/>
      </w:pPr>
      <w:r>
        <w:t xml:space="preserve">Place the PCB inside the semi-anechoic chamber.</w:t>
      </w:r>
    </w:p>
    <w:p>
      <w:pPr>
        <w:numPr>
          <w:ilvl w:val="0"/>
          <w:numId w:val="1006"/>
        </w:numPr>
        <w:pStyle w:val="Compact"/>
      </w:pPr>
      <w:r>
        <w:t xml:space="preserve">Activate the PCB and monitor the EMI emissions using the spectrum analyzer.</w:t>
      </w:r>
    </w:p>
    <w:p>
      <w:pPr>
        <w:numPr>
          <w:ilvl w:val="0"/>
          <w:numId w:val="1006"/>
        </w:numPr>
        <w:pStyle w:val="Compact"/>
      </w:pPr>
      <w:r>
        <w:t xml:space="preserve">Record the EMI levels at various frequencies and compare them with the CSA standards.</w:t>
      </w:r>
    </w:p>
    <w:p>
      <w:pPr>
        <w:numPr>
          <w:ilvl w:val="0"/>
          <w:numId w:val="1006"/>
        </w:numPr>
        <w:pStyle w:val="Compact"/>
      </w:pPr>
      <w:r>
        <w:t xml:space="preserve">Identify any sources of excessive EMI and document them for further analysis.</w:t>
      </w:r>
    </w:p>
    <w:bookmarkEnd w:id="27"/>
    <w:bookmarkStart w:id="28" w:name="data-analysis"/>
    <w:p>
      <w:pPr>
        <w:pStyle w:val="Heading3"/>
      </w:pPr>
      <w:r>
        <w:t xml:space="preserve">5.4 Data Analysis</w:t>
      </w:r>
    </w:p>
    <w:p>
      <w:pPr>
        <w:numPr>
          <w:ilvl w:val="0"/>
          <w:numId w:val="1007"/>
        </w:numPr>
        <w:pStyle w:val="Compact"/>
      </w:pPr>
      <w:r>
        <w:t xml:space="preserve">Compile all the recorded data and perform a detailed analysis.</w:t>
      </w:r>
    </w:p>
    <w:p>
      <w:pPr>
        <w:numPr>
          <w:ilvl w:val="0"/>
          <w:numId w:val="1007"/>
        </w:numPr>
        <w:pStyle w:val="Compact"/>
      </w:pPr>
      <w:r>
        <w:t xml:space="preserve">Compare the results with the design specifications and industry standards.</w:t>
      </w:r>
    </w:p>
    <w:p>
      <w:pPr>
        <w:numPr>
          <w:ilvl w:val="0"/>
          <w:numId w:val="1007"/>
        </w:numPr>
        <w:pStyle w:val="Compact"/>
      </w:pPr>
      <w:r>
        <w:t xml:space="preserve">Identify any areas where the design does not meet the requirements and propose corrective actions.</w:t>
      </w:r>
    </w:p>
    <w:p>
      <w:pPr>
        <w:numPr>
          <w:ilvl w:val="0"/>
          <w:numId w:val="1007"/>
        </w:numPr>
        <w:pStyle w:val="Compact"/>
      </w:pPr>
      <w:r>
        <w:t xml:space="preserve">Prepare a comprehensive report summarizing the findings and recommendations.</w:t>
      </w:r>
    </w:p>
    <w:bookmarkEnd w:id="28"/>
    <w:bookmarkEnd w:id="29"/>
    <w:bookmarkStart w:id="30" w:name="quality-assurance-and-compliance"/>
    <w:p>
      <w:pPr>
        <w:pStyle w:val="Heading2"/>
      </w:pPr>
      <w:r>
        <w:t xml:space="preserve">6. Quality Assurance and Compliance</w:t>
      </w:r>
    </w:p>
    <w:p>
      <w:pPr>
        <w:pStyle w:val="FirstParagraph"/>
      </w:pPr>
      <w:r>
        <w:t xml:space="preserve">All experiments must be conducted in accordance with the following standards and regulations:</w:t>
      </w:r>
    </w:p>
    <w:p>
      <w:pPr>
        <w:numPr>
          <w:ilvl w:val="0"/>
          <w:numId w:val="1008"/>
        </w:numPr>
        <w:pStyle w:val="Compact"/>
      </w:pPr>
      <w:r>
        <w:t xml:space="preserve">Canadian Standards Association (CSA) C22.2 No. 60950-1 for information technology equipment.</w:t>
      </w:r>
    </w:p>
    <w:p>
      <w:pPr>
        <w:numPr>
          <w:ilvl w:val="0"/>
          <w:numId w:val="1008"/>
        </w:numPr>
        <w:pStyle w:val="Compact"/>
      </w:pPr>
      <w:r>
        <w:t xml:space="preserve">International Electrotechnical Commission (IEC) 61000 series for electromagnetic compatibility (EMC).</w:t>
      </w:r>
    </w:p>
    <w:p>
      <w:pPr>
        <w:numPr>
          <w:ilvl w:val="0"/>
          <w:numId w:val="1008"/>
        </w:numPr>
        <w:pStyle w:val="Compact"/>
      </w:pPr>
      <w:r>
        <w:t xml:space="preserve">Occupational Health and Safety Regulations of Quebec.</w:t>
      </w:r>
    </w:p>
    <w:p>
      <w:pPr>
        <w:pStyle w:val="FirstParagraph"/>
      </w:pPr>
      <w:r>
        <w:t xml:space="preserve">The Quality Assurance team will review all data and reports to ensure compliance with these standards.</w:t>
      </w:r>
    </w:p>
    <w:bookmarkEnd w:id="30"/>
    <w:bookmarkStart w:id="31" w:name="documentation-and-reporting"/>
    <w:p>
      <w:pPr>
        <w:pStyle w:val="Heading2"/>
      </w:pPr>
      <w:r>
        <w:t xml:space="preserve">7. Documentation and Reporting</w:t>
      </w:r>
    </w:p>
    <w:p>
      <w:pPr>
        <w:pStyle w:val="FirstParagraph"/>
      </w:pPr>
      <w:r>
        <w:t xml:space="preserve">All data, observations, and results must be documented in a detailed report. The report should include:</w:t>
      </w:r>
    </w:p>
    <w:p>
      <w:pPr>
        <w:numPr>
          <w:ilvl w:val="0"/>
          <w:numId w:val="1009"/>
        </w:numPr>
        <w:pStyle w:val="Compact"/>
      </w:pPr>
      <w:r>
        <w:t xml:space="preserve">Introduction and objectives of the experiment.</w:t>
      </w:r>
    </w:p>
    <w:p>
      <w:pPr>
        <w:numPr>
          <w:ilvl w:val="0"/>
          <w:numId w:val="1009"/>
        </w:numPr>
        <w:pStyle w:val="Compact"/>
      </w:pPr>
      <w:r>
        <w:t xml:space="preserve">Description of the equipment and materials used.</w:t>
      </w:r>
    </w:p>
    <w:p>
      <w:pPr>
        <w:numPr>
          <w:ilvl w:val="0"/>
          <w:numId w:val="1009"/>
        </w:numPr>
        <w:pStyle w:val="Compact"/>
      </w:pPr>
      <w:r>
        <w:t xml:space="preserve">Step-by-step procedure followed.</w:t>
      </w:r>
    </w:p>
    <w:p>
      <w:pPr>
        <w:numPr>
          <w:ilvl w:val="0"/>
          <w:numId w:val="1009"/>
        </w:numPr>
        <w:pStyle w:val="Compact"/>
      </w:pPr>
      <w:r>
        <w:t xml:space="preserve">Data and results obtained.</w:t>
      </w:r>
    </w:p>
    <w:p>
      <w:pPr>
        <w:numPr>
          <w:ilvl w:val="0"/>
          <w:numId w:val="1009"/>
        </w:numPr>
        <w:pStyle w:val="Compact"/>
      </w:pPr>
      <w:r>
        <w:t xml:space="preserve">Analysis and interpretation of the results.</w:t>
      </w:r>
    </w:p>
    <w:p>
      <w:pPr>
        <w:numPr>
          <w:ilvl w:val="0"/>
          <w:numId w:val="1009"/>
        </w:numPr>
        <w:pStyle w:val="Compact"/>
      </w:pPr>
      <w:r>
        <w:t xml:space="preserve">Conclusions and recommendations.</w:t>
      </w:r>
    </w:p>
    <w:p>
      <w:pPr>
        <w:numPr>
          <w:ilvl w:val="0"/>
          <w:numId w:val="1009"/>
        </w:numPr>
        <w:pStyle w:val="Compact"/>
      </w:pPr>
      <w:r>
        <w:t xml:space="preserve">Appendices with raw data and additional information.</w:t>
      </w:r>
    </w:p>
    <w:p>
      <w:pPr>
        <w:pStyle w:val="FirstParagraph"/>
      </w:pPr>
      <w:r>
        <w:t xml:space="preserve">The final report must be submitted to the Lead Electronics Engineer for review and approval.</w:t>
      </w:r>
    </w:p>
    <w:bookmarkEnd w:id="31"/>
    <w:bookmarkStart w:id="32" w:name="conclusion"/>
    <w:p>
      <w:pPr>
        <w:pStyle w:val="Heading2"/>
      </w:pPr>
      <w:r>
        <w:t xml:space="preserve">8. Conclusion</w:t>
      </w:r>
    </w:p>
    <w:p>
      <w:pPr>
        <w:pStyle w:val="FirstParagraph"/>
      </w:pPr>
      <w:r>
        <w:t xml:space="preserve">This Experiment Protocol provides a structured approach for the Electronics Engineer team in Canada Montreal to conduct high-frequency signal integrity and EMI testing on mixed-signal PCB designs. By following this protocol, the team ensures that the designs meet the required performance standards and comply with local and international regulations.</w:t>
      </w:r>
    </w:p>
    <w:bookmarkEnd w:id="32"/>
    <w:p>
      <w:pPr>
        <w:pStyle w:val="BodyText"/>
      </w:pPr>
      <w:r>
        <w:rPr>
          <w:bCs/>
          <w:b/>
        </w:rPr>
        <w:t xml:space="preserve">Prepared By:</w:t>
      </w:r>
    </w:p>
    <w:p>
      <w:pPr>
        <w:pStyle w:val="BodyText"/>
      </w:pPr>
      <w:r>
        <w:t xml:space="preserve">_________________________</w:t>
      </w:r>
    </w:p>
    <w:p>
      <w:pPr>
        <w:pStyle w:val="BodyText"/>
      </w:pPr>
      <w:r>
        <w:t xml:space="preserve">Lead Electronics Engineer</w:t>
      </w:r>
    </w:p>
    <w:p>
      <w:pPr>
        <w:pStyle w:val="BodyText"/>
      </w:pPr>
      <w:r>
        <w:rPr>
          <w:bCs/>
          <w:b/>
        </w:rPr>
        <w:t xml:space="preserve">Date:</w:t>
      </w:r>
      <w:r>
        <w:t xml:space="preserve"> </w:t>
      </w:r>
      <w:r>
        <w:t xml:space="preserve">_________________________</w:t>
      </w:r>
    </w:p>
    <w:p>
      <w:pPr>
        <w:pStyle w:val="BodyText"/>
      </w:pPr>
      <w:r>
        <w:br/>
      </w:r>
    </w:p>
    <w:p>
      <w:pPr>
        <w:pStyle w:val="BodyText"/>
      </w:pPr>
      <w:r>
        <w:rPr>
          <w:bCs/>
          <w:b/>
        </w:rPr>
        <w:t xml:space="preserve">Approved By:</w:t>
      </w:r>
    </w:p>
    <w:p>
      <w:pPr>
        <w:pStyle w:val="BodyText"/>
      </w:pPr>
      <w:r>
        <w:t xml:space="preserve">_________________________</w:t>
      </w:r>
    </w:p>
    <w:p>
      <w:pPr>
        <w:pStyle w:val="BodyText"/>
      </w:pPr>
      <w:r>
        <w:t xml:space="preserve">Project Manager</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Canada Montreal</dc:title>
  <dc:creator/>
  <dc:language>en</dc:language>
  <cp:keywords/>
  <dcterms:created xsi:type="dcterms:W3CDTF">2026-10-10T01:02:48Z</dcterms:created>
  <dcterms:modified xsi:type="dcterms:W3CDTF">2026-10-10T01:02:48Z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