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Research</w:t>
      </w:r>
    </w:p>
    <w:bookmarkStart w:id="20" w:name="Xc2efb6057d269d5db50fa98eaec48b590ba6a9d"/>
    <w:p>
      <w:pPr>
        <w:pStyle w:val="Heading1"/>
      </w:pPr>
      <w:r>
        <w:t xml:space="preserve">Experiment Protocol: Advanced Power Electronics Validation</w:t>
      </w:r>
    </w:p>
    <w:p>
      <w:pPr>
        <w:pStyle w:val="FirstParagraph"/>
      </w:pPr>
      <w:r>
        <w:rPr>
          <w:bCs/>
          <w:b/>
        </w:rPr>
        <w:t xml:space="preserve">Location:</w:t>
      </w:r>
      <w:r>
        <w:t xml:space="preserve"> </w:t>
      </w:r>
      <w:r>
        <w:t xml:space="preserve">Vancouver, British Columbia, Canada</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testing and validating high-efficiency DC-DC converters intended for renewable energy integration. As an Electronics Engineer operating within the technological hub of Vancouver, British Columbia, this protocol ensures that all experimental activities align with both international engineering standards and local regulatory requirements.</w:t>
      </w:r>
    </w:p>
    <w:p>
      <w:pPr>
        <w:pStyle w:val="BodyText"/>
      </w:pPr>
      <w:r>
        <w:t xml:space="preserve">The primary objective is to evaluate the thermal performance and efficiency of a prototype GaN-based power stage under variable load conditions. This testing is critical for ensuring the reliability of power systems used in Vancouver's growing smart grid infrastructure and electric vehicle charging networks.</w:t>
      </w:r>
    </w:p>
    <w:bookmarkEnd w:id="21"/>
    <w:bookmarkStart w:id="22" w:name="scope-and-regulatory-compliance"/>
    <w:p>
      <w:pPr>
        <w:pStyle w:val="Heading2"/>
      </w:pPr>
      <w:r>
        <w:t xml:space="preserve">2. Scope and Regulatory Compliance</w:t>
      </w:r>
    </w:p>
    <w:p>
      <w:pPr>
        <w:pStyle w:val="FirstParagraph"/>
      </w:pPr>
      <w:r>
        <w:t xml:space="preserve">This protocol applies to all Electronics Engineers and technical staff conducting hardware validation at the Vancouver research facility. The experiments must adhere to the following standards:</w:t>
      </w:r>
    </w:p>
    <w:p>
      <w:pPr>
        <w:numPr>
          <w:ilvl w:val="0"/>
          <w:numId w:val="1001"/>
        </w:numPr>
        <w:pStyle w:val="Compact"/>
      </w:pPr>
      <w:r>
        <w:rPr>
          <w:bCs/>
          <w:b/>
        </w:rPr>
        <w:t xml:space="preserve">CSA Standards:</w:t>
      </w:r>
      <w:r>
        <w:t xml:space="preserve"> </w:t>
      </w:r>
      <w:r>
        <w:t xml:space="preserve">Compliance with Canadian Standards Association (CSA) guidelines for electrical safety.</w:t>
      </w:r>
    </w:p>
    <w:p>
      <w:pPr>
        <w:numPr>
          <w:ilvl w:val="0"/>
          <w:numId w:val="1001"/>
        </w:numPr>
        <w:pStyle w:val="Compact"/>
      </w:pPr>
      <w:r>
        <w:rPr>
          <w:bCs/>
          <w:b/>
        </w:rPr>
        <w:t xml:space="preserve">WorkSafeBC:</w:t>
      </w:r>
      <w:r>
        <w:t xml:space="preserve"> </w:t>
      </w:r>
      <w:r>
        <w:t xml:space="preserve">Adherence to British Columbia's occupational health and safety regulations regarding high-voltage testing.</w:t>
      </w:r>
    </w:p>
    <w:p>
      <w:pPr>
        <w:numPr>
          <w:ilvl w:val="0"/>
          <w:numId w:val="1001"/>
        </w:numPr>
        <w:pStyle w:val="Compact"/>
      </w:pPr>
      <w:r>
        <w:rPr>
          <w:bCs/>
          <w:b/>
        </w:rPr>
        <w:t xml:space="preserve">Environmental Considerations:</w:t>
      </w:r>
      <w:r>
        <w:t xml:space="preserve"> </w:t>
      </w:r>
      <w:r>
        <w:t xml:space="preserve">Given Vancouver's commitment to sustainability, waste disposal of electronic components must follow local environmental protection laws.</w:t>
      </w:r>
    </w:p>
    <w:p>
      <w:pPr>
        <w:pStyle w:val="FirstParagraph"/>
      </w:pPr>
      <w:r>
        <w:rPr>
          <w:bCs/>
          <w:b/>
        </w:rPr>
        <w:t xml:space="preserve">Note:</w:t>
      </w:r>
      <w:r>
        <w:t xml:space="preserve"> </w:t>
      </w:r>
      <w:r>
        <w:t xml:space="preserve">All personnel must hold a valid electrical safety certification recognized in British Columbia before engaging with live circuits exceeding 50V DC.</w:t>
      </w:r>
    </w:p>
    <w:bookmarkEnd w:id="22"/>
    <w:bookmarkStart w:id="23" w:name="equipment-and-materials"/>
    <w:p>
      <w:pPr>
        <w:pStyle w:val="Heading2"/>
      </w:pPr>
      <w:r>
        <w:t xml:space="preserve">3. Equipment and Materials</w:t>
      </w:r>
    </w:p>
    <w:p>
      <w:pPr>
        <w:pStyle w:val="FirstParagraph"/>
      </w:pPr>
      <w:r>
        <w:t xml:space="preserve">The Electronics Engineer must verify the calibration status of all instruments prior to the experiment. The following equipment is required:</w:t>
      </w:r>
    </w:p>
    <w:p>
      <w:pPr>
        <w:numPr>
          <w:ilvl w:val="0"/>
          <w:numId w:val="1002"/>
        </w:numPr>
        <w:pStyle w:val="Compact"/>
      </w:pPr>
      <w:r>
        <w:t xml:space="preserve">Programmable DC Power Supply (Input: 400V DC)</w:t>
      </w:r>
    </w:p>
    <w:p>
      <w:pPr>
        <w:numPr>
          <w:ilvl w:val="0"/>
          <w:numId w:val="1002"/>
        </w:numPr>
        <w:pStyle w:val="Compact"/>
      </w:pPr>
      <w:r>
        <w:t xml:space="preserve">Electronic Load (Capable of 10kW dissipation)</w:t>
      </w:r>
    </w:p>
    <w:p>
      <w:pPr>
        <w:numPr>
          <w:ilvl w:val="0"/>
          <w:numId w:val="1002"/>
        </w:numPr>
        <w:pStyle w:val="Compact"/>
      </w:pPr>
      <w:r>
        <w:t xml:space="preserve">Oscilloscope with high-voltage differential probes</w:t>
      </w:r>
    </w:p>
    <w:p>
      <w:pPr>
        <w:numPr>
          <w:ilvl w:val="0"/>
          <w:numId w:val="1002"/>
        </w:numPr>
        <w:pStyle w:val="Compact"/>
      </w:pPr>
      <w:r>
        <w:t xml:space="preserve">Thermal Imaging Camera</w:t>
      </w:r>
    </w:p>
    <w:p>
      <w:pPr>
        <w:numPr>
          <w:ilvl w:val="0"/>
          <w:numId w:val="1002"/>
        </w:numPr>
        <w:pStyle w:val="Compact"/>
      </w:pPr>
      <w:r>
        <w:t xml:space="preserve">Power Analyzer (for efficiency measurement)</w:t>
      </w:r>
    </w:p>
    <w:p>
      <w:pPr>
        <w:numPr>
          <w:ilvl w:val="0"/>
          <w:numId w:val="1002"/>
        </w:numPr>
        <w:pStyle w:val="Compact"/>
      </w:pPr>
      <w:r>
        <w:t xml:space="preserve">Prototype GaN DC-DC Converter Unit</w:t>
      </w:r>
    </w:p>
    <w:p>
      <w:pPr>
        <w:numPr>
          <w:ilvl w:val="0"/>
          <w:numId w:val="1002"/>
        </w:numPr>
        <w:pStyle w:val="Compact"/>
      </w:pPr>
      <w:r>
        <w:t xml:space="preserve">Insulated tools and personal protective equipment (PPE)</w:t>
      </w:r>
    </w:p>
    <w:bookmarkEnd w:id="23"/>
    <w:bookmarkStart w:id="24" w:name="safety-procedures"/>
    <w:p>
      <w:pPr>
        <w:pStyle w:val="Heading2"/>
      </w:pPr>
      <w:r>
        <w:t xml:space="preserve">4. Safety Procedures</w:t>
      </w:r>
    </w:p>
    <w:p>
      <w:pPr>
        <w:pStyle w:val="FirstParagraph"/>
      </w:pPr>
      <w:r>
        <w:t xml:space="preserve">Safety is paramount in this Experiment Protocol. The following steps must be strictly followed:</w:t>
      </w:r>
    </w:p>
    <w:p>
      <w:pPr>
        <w:numPr>
          <w:ilvl w:val="0"/>
          <w:numId w:val="1003"/>
        </w:numPr>
        <w:pStyle w:val="Compact"/>
      </w:pPr>
      <w:r>
        <w:rPr>
          <w:bCs/>
          <w:b/>
        </w:rPr>
        <w:t xml:space="preserve">Lockout/Tagout (LOTO):</w:t>
      </w:r>
      <w:r>
        <w:t xml:space="preserve"> </w:t>
      </w:r>
      <w:r>
        <w:t xml:space="preserve">Implement LOTO procedures on the main power distribution unit before connecting the prototype.</w:t>
      </w:r>
    </w:p>
    <w:p>
      <w:pPr>
        <w:numPr>
          <w:ilvl w:val="0"/>
          <w:numId w:val="1003"/>
        </w:numPr>
        <w:pStyle w:val="Compact"/>
      </w:pPr>
      <w:r>
        <w:rPr>
          <w:bCs/>
          <w:b/>
        </w:rPr>
        <w:t xml:space="preserve">Inspection:</w:t>
      </w:r>
      <w:r>
        <w:t xml:space="preserve"> </w:t>
      </w:r>
      <w:r>
        <w:t xml:space="preserve">Visually inspect all cables and connections for damage. Ensure the test bench is grounded according to Canadian Electrical Code (CEC) requirements.</w:t>
      </w:r>
    </w:p>
    <w:p>
      <w:pPr>
        <w:numPr>
          <w:ilvl w:val="0"/>
          <w:numId w:val="1003"/>
        </w:numPr>
        <w:pStyle w:val="Compact"/>
      </w:pPr>
      <w:r>
        <w:rPr>
          <w:bCs/>
          <w:b/>
        </w:rPr>
        <w:t xml:space="preserve">PPE:</w:t>
      </w:r>
      <w:r>
        <w:t xml:space="preserve"> </w:t>
      </w:r>
      <w:r>
        <w:t xml:space="preserve">Wear appropriate arc-flash rated clothing and safety glasses.</w:t>
      </w:r>
    </w:p>
    <w:p>
      <w:pPr>
        <w:numPr>
          <w:ilvl w:val="0"/>
          <w:numId w:val="1003"/>
        </w:numPr>
        <w:pStyle w:val="Compact"/>
      </w:pPr>
      <w:r>
        <w:rPr>
          <w:bCs/>
          <w:b/>
        </w:rPr>
        <w:t xml:space="preserve">Emergency Shutdown:</w:t>
      </w:r>
      <w:r>
        <w:t xml:space="preserve"> </w:t>
      </w:r>
      <w:r>
        <w:t xml:space="preserve">Verify that the emergency stop button is functional and accessible.</w:t>
      </w:r>
    </w:p>
    <w:bookmarkEnd w:id="24"/>
    <w:bookmarkStart w:id="29" w:name="experimental-procedure"/>
    <w:p>
      <w:pPr>
        <w:pStyle w:val="Heading2"/>
      </w:pPr>
      <w:r>
        <w:t xml:space="preserve">5. Experimental Procedure</w:t>
      </w:r>
    </w:p>
    <w:p>
      <w:pPr>
        <w:pStyle w:val="FirstParagraph"/>
      </w:pPr>
      <w:r>
        <w:t xml:space="preserve">The Electronics Engineer will execute the following steps to validate the prototype:</w:t>
      </w:r>
    </w:p>
    <w:bookmarkStart w:id="25" w:name="initial-setup"/>
    <w:p>
      <w:pPr>
        <w:pStyle w:val="Heading3"/>
      </w:pPr>
      <w:r>
        <w:t xml:space="preserve">5.1 Initial Setup</w:t>
      </w:r>
    </w:p>
    <w:p>
      <w:pPr>
        <w:pStyle w:val="FirstParagraph"/>
      </w:pPr>
      <w:r>
        <w:t xml:space="preserve">Connect the prototype to the power supply and electronic load. Ensure all connections are tight and insulated. Set the power supply to a constant voltage of 400V DC with current limiting enabled at 10% above the rated maximum.</w:t>
      </w:r>
    </w:p>
    <w:bookmarkEnd w:id="25"/>
    <w:bookmarkStart w:id="26" w:name="no-load-test"/>
    <w:p>
      <w:pPr>
        <w:pStyle w:val="Heading3"/>
      </w:pPr>
      <w:r>
        <w:t xml:space="preserve">5.2 No-Load Test</w:t>
      </w:r>
    </w:p>
    <w:p>
      <w:pPr>
        <w:pStyle w:val="FirstParagraph"/>
      </w:pPr>
      <w:r>
        <w:t xml:space="preserve">Power on the system with the electronic load set to zero current. Monitor the output voltage and ripple using the oscilloscope. Record the no-load power consumption. This step ensures the control loop is stable before applying stress.</w:t>
      </w:r>
    </w:p>
    <w:bookmarkEnd w:id="26"/>
    <w:bookmarkStart w:id="27" w:name="load-sweep"/>
    <w:p>
      <w:pPr>
        <w:pStyle w:val="Heading3"/>
      </w:pPr>
      <w:r>
        <w:t xml:space="preserve">5.3 Load Sweep</w:t>
      </w:r>
    </w:p>
    <w:p>
      <w:pPr>
        <w:pStyle w:val="FirstParagraph"/>
      </w:pPr>
      <w:r>
        <w:t xml:space="preserve">Gradually increase the load current in 10% increments up to 100% of the rated capacity. At each step, allow the system to stabilize for 5 minutes. Record the following data points:</w:t>
      </w:r>
    </w:p>
    <w:p>
      <w:pPr>
        <w:numPr>
          <w:ilvl w:val="0"/>
          <w:numId w:val="1004"/>
        </w:numPr>
        <w:pStyle w:val="Compact"/>
      </w:pPr>
      <w:r>
        <w:t xml:space="preserve">Input Voltage and Current</w:t>
      </w:r>
    </w:p>
    <w:p>
      <w:pPr>
        <w:numPr>
          <w:ilvl w:val="0"/>
          <w:numId w:val="1004"/>
        </w:numPr>
        <w:pStyle w:val="Compact"/>
      </w:pPr>
      <w:r>
        <w:t xml:space="preserve">Output Voltage and Current</w:t>
      </w:r>
    </w:p>
    <w:p>
      <w:pPr>
        <w:numPr>
          <w:ilvl w:val="0"/>
          <w:numId w:val="1004"/>
        </w:numPr>
        <w:pStyle w:val="Compact"/>
      </w:pPr>
      <w:r>
        <w:t xml:space="preserve">Switching Waveforms</w:t>
      </w:r>
    </w:p>
    <w:p>
      <w:pPr>
        <w:numPr>
          <w:ilvl w:val="0"/>
          <w:numId w:val="1004"/>
        </w:numPr>
        <w:pStyle w:val="Compact"/>
      </w:pPr>
      <w:r>
        <w:t xml:space="preserve">Thermal images of the GaN devices and passive components</w:t>
      </w:r>
    </w:p>
    <w:bookmarkEnd w:id="27"/>
    <w:bookmarkStart w:id="28" w:name="transient-response-test"/>
    <w:p>
      <w:pPr>
        <w:pStyle w:val="Heading3"/>
      </w:pPr>
      <w:r>
        <w:t xml:space="preserve">5.4 Transient Response Test</w:t>
      </w:r>
    </w:p>
    <w:p>
      <w:pPr>
        <w:pStyle w:val="FirstParagraph"/>
      </w:pPr>
      <w:r>
        <w:t xml:space="preserve">Perform a load transient test by stepping the load from 20% to 80% and back. Measure the output voltage overshoot and undershoot. This is critical for applications in Vancouver's dynamic power grid environment.</w:t>
      </w:r>
    </w:p>
    <w:bookmarkEnd w:id="28"/>
    <w:bookmarkEnd w:id="29"/>
    <w:bookmarkStart w:id="30" w:name="data-analysis-and-reporting"/>
    <w:p>
      <w:pPr>
        <w:pStyle w:val="Heading2"/>
      </w:pPr>
      <w:r>
        <w:t xml:space="preserve">6. Data Analysis and Reporting</w:t>
      </w:r>
    </w:p>
    <w:p>
      <w:pPr>
        <w:pStyle w:val="FirstParagraph"/>
      </w:pPr>
      <w:r>
        <w:t xml:space="preserve">After completing the tests, the Electronics Engineer must analyze the data to calculate efficiency curves and thermal resistance values. Any anomalies, such as excessive heating or voltage instability, must be documented. The final report should include recommendations for design improvements and compliance with CSA standards.</w:t>
      </w:r>
    </w:p>
    <w:bookmarkEnd w:id="30"/>
    <w:bookmarkStart w:id="31" w:name="conclusion"/>
    <w:p>
      <w:pPr>
        <w:pStyle w:val="Heading2"/>
      </w:pPr>
      <w:r>
        <w:t xml:space="preserve">7. Conclusion</w:t>
      </w:r>
    </w:p>
    <w:p>
      <w:pPr>
        <w:pStyle w:val="FirstParagraph"/>
      </w:pPr>
      <w:r>
        <w:t xml:space="preserve">This Experiment Protocol provides a comprehensive framework for conducting rigorous testing of power electronics in Vancouver, Canada. By following these guidelines, Electronics Engineers can ensure the safety, reliability, and regulatory compliance of their designs, contributing to the advancement of sustainable energy technologies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Research</dc:title>
  <dc:creator/>
  <dc:language>en</dc:language>
  <cp:keywords/>
  <dcterms:created xsi:type="dcterms:W3CDTF">2026-10-10T01:42:12Z</dcterms:created>
  <dcterms:modified xsi:type="dcterms:W3CDTF">2026-10-10T01:42:12Z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