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Operations</w:t>
      </w:r>
      <w:r>
        <w:t xml:space="preserve"> </w:t>
      </w:r>
      <w:r>
        <w:t xml:space="preserve">in</w:t>
      </w:r>
      <w:r>
        <w:t xml:space="preserve"> </w:t>
      </w:r>
      <w:r>
        <w:t xml:space="preserve">Guangzhou,</w:t>
      </w:r>
      <w:r>
        <w:t xml:space="preserve"> </w:t>
      </w:r>
      <w:r>
        <w:t xml:space="preserve">China</w:t>
      </w:r>
    </w:p>
    <w:bookmarkStart w:id="34" w:name="X6cee34b19ea03816d6388b21202ccb1c360a1f8"/>
    <w:p>
      <w:pPr>
        <w:pStyle w:val="Heading1"/>
      </w:pPr>
      <w:r>
        <w:t xml:space="preserve">Experiment Protocol: Electronics Engineer Operations in Guangzhou, China</w:t>
      </w:r>
    </w:p>
    <w:p>
      <w:pPr>
        <w:pStyle w:val="FirstParagraph"/>
      </w:pPr>
      <w:r>
        <w:rPr>
          <w:bCs/>
          <w:b/>
        </w:rPr>
        <w:t xml:space="preserve">Document ID:</w:t>
      </w:r>
      <w:r>
        <w:t xml:space="preserve"> </w:t>
      </w:r>
      <w:r>
        <w:t xml:space="preserve">EP-GZ-EE-2024-001</w:t>
      </w:r>
      <w:r>
        <w:br/>
      </w:r>
      <w:r>
        <w:rPr>
          <w:bCs/>
          <w:b/>
        </w:rPr>
        <w:t xml:space="preserve">Location:</w:t>
      </w:r>
      <w:r>
        <w:t xml:space="preserve"> </w:t>
      </w:r>
      <w:r>
        <w:t xml:space="preserve">Guangzhou, Guangdong Province, People's Republic of China</w:t>
      </w:r>
      <w:r>
        <w:br/>
      </w:r>
      <w:r>
        <w:rPr>
          <w:bCs/>
          <w:b/>
        </w:rPr>
        <w:t xml:space="preserve">Target Role:</w:t>
      </w:r>
      <w:r>
        <w:t xml:space="preserve"> </w:t>
      </w:r>
      <w:r>
        <w:t xml:space="preserve">Electronics Engineer</w:t>
      </w:r>
      <w:r>
        <w:br/>
      </w:r>
      <w:r>
        <w:rPr>
          <w:bCs/>
          <w:b/>
        </w:rPr>
        <w:t xml:space="preserve">Date:</w:t>
      </w:r>
      <w:r>
        <w:t xml:space="preserve"> </w:t>
      </w:r>
      <w:r>
        <w:t xml:space="preserve">October 2023</w:t>
      </w:r>
      <w:r>
        <w:br/>
      </w: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safety measures, and technical requirements for Electronics Engineers conducting experimental work within the industrial and research facilities of Guangzhou, China. Guangzhou, as a major hub for electronics manufacturing and innovation in the Pearl River Delta, presents unique environmental and regulatory conditions that must be addressed to ensure the integrity of experiments and the safety of personnel.</w:t>
      </w:r>
    </w:p>
    <w:p>
      <w:pPr>
        <w:pStyle w:val="BodyText"/>
      </w:pPr>
      <w:r>
        <w:t xml:space="preserve">The primary objective of this protocol is to establish a consistent framework for designing, executing, and documenting electronic experiments. This includes compliance with local Chinese regulations, adaptation to the specific climatic conditions of Guangzhou, and adherence to international best practices in electronics engineering.</w:t>
      </w:r>
    </w:p>
    <w:bookmarkEnd w:id="20"/>
    <w:bookmarkStart w:id="21" w:name="scope-and-applicability"/>
    <w:p>
      <w:pPr>
        <w:pStyle w:val="Heading2"/>
      </w:pPr>
      <w:r>
        <w:t xml:space="preserve">2. Scope and Applicability</w:t>
      </w:r>
    </w:p>
    <w:p>
      <w:pPr>
        <w:pStyle w:val="FirstParagraph"/>
      </w:pPr>
      <w:r>
        <w:t xml:space="preserve">This protocol applies to all Electronics Engineers, technicians, and support staff involved in experimental activities within designated laboratories and testing facilities in Guangzhou. It covers:</w:t>
      </w:r>
    </w:p>
    <w:p>
      <w:pPr>
        <w:numPr>
          <w:ilvl w:val="0"/>
          <w:numId w:val="1001"/>
        </w:numPr>
        <w:pStyle w:val="Compact"/>
      </w:pPr>
      <w:r>
        <w:t xml:space="preserve">Hardware design and prototyping experiments.</w:t>
      </w:r>
    </w:p>
    <w:p>
      <w:pPr>
        <w:numPr>
          <w:ilvl w:val="0"/>
          <w:numId w:val="1001"/>
        </w:numPr>
        <w:pStyle w:val="Compact"/>
      </w:pPr>
      <w:r>
        <w:t xml:space="preserve">Electromagnetic compatibility (EMC) testing.</w:t>
      </w:r>
    </w:p>
    <w:p>
      <w:pPr>
        <w:numPr>
          <w:ilvl w:val="0"/>
          <w:numId w:val="1001"/>
        </w:numPr>
        <w:pStyle w:val="Compact"/>
      </w:pPr>
      <w:r>
        <w:t xml:space="preserve">Environmental stress testing (temperature, humidity, vibration).</w:t>
      </w:r>
    </w:p>
    <w:p>
      <w:pPr>
        <w:numPr>
          <w:ilvl w:val="0"/>
          <w:numId w:val="1001"/>
        </w:numPr>
        <w:pStyle w:val="Compact"/>
      </w:pPr>
      <w:r>
        <w:t xml:space="preserve">Signal integrity and power integrity analysis.</w:t>
      </w:r>
    </w:p>
    <w:p>
      <w:pPr>
        <w:numPr>
          <w:ilvl w:val="0"/>
          <w:numId w:val="1001"/>
        </w:numPr>
        <w:pStyle w:val="Compact"/>
      </w:pPr>
      <w:r>
        <w:t xml:space="preserve">Integration testing of electronic systems in real-world Guangzhou environments.</w:t>
      </w:r>
    </w:p>
    <w:bookmarkEnd w:id="21"/>
    <w:bookmarkStart w:id="22" w:name="regulatory-and-compliance-requirements"/>
    <w:p>
      <w:pPr>
        <w:pStyle w:val="Heading2"/>
      </w:pPr>
      <w:r>
        <w:t xml:space="preserve">3. Regulatory and Compliance Requirements</w:t>
      </w:r>
    </w:p>
    <w:p>
      <w:pPr>
        <w:pStyle w:val="FirstParagraph"/>
      </w:pPr>
      <w:r>
        <w:t xml:space="preserve">All experiments must comply with relevant national and local regulations in China, including but not limited to:</w:t>
      </w:r>
    </w:p>
    <w:p>
      <w:pPr>
        <w:numPr>
          <w:ilvl w:val="0"/>
          <w:numId w:val="1002"/>
        </w:numPr>
        <w:pStyle w:val="Compact"/>
      </w:pPr>
      <w:r>
        <w:rPr>
          <w:bCs/>
          <w:b/>
        </w:rPr>
        <w:t xml:space="preserve">GB Standards:</w:t>
      </w:r>
      <w:r>
        <w:t xml:space="preserve"> </w:t>
      </w:r>
      <w:r>
        <w:t xml:space="preserve">Adherence to Chinese National Standards (GB) for electrical safety, EMC, and environmental protection.</w:t>
      </w:r>
    </w:p>
    <w:p>
      <w:pPr>
        <w:numPr>
          <w:ilvl w:val="0"/>
          <w:numId w:val="1002"/>
        </w:numPr>
        <w:pStyle w:val="Compact"/>
      </w:pPr>
      <w:r>
        <w:rPr>
          <w:bCs/>
          <w:b/>
        </w:rPr>
        <w:t xml:space="preserve">Workplace Safety:</w:t>
      </w:r>
      <w:r>
        <w:t xml:space="preserve"> </w:t>
      </w:r>
      <w:r>
        <w:t xml:space="preserve">Compliance with the Work Safety Law of the People's Republic of China.</w:t>
      </w:r>
    </w:p>
    <w:p>
      <w:pPr>
        <w:numPr>
          <w:ilvl w:val="0"/>
          <w:numId w:val="1002"/>
        </w:numPr>
        <w:pStyle w:val="Compact"/>
      </w:pPr>
      <w:r>
        <w:rPr>
          <w:bCs/>
          <w:b/>
        </w:rPr>
        <w:t xml:space="preserve">Environmental Regulations:</w:t>
      </w:r>
      <w:r>
        <w:t xml:space="preserve"> </w:t>
      </w:r>
      <w:r>
        <w:t xml:space="preserve">Proper handling and disposal of electronic waste and hazardous materials in accordance with Guangdong Province environmental guidelines.</w:t>
      </w:r>
    </w:p>
    <w:p>
      <w:pPr>
        <w:numPr>
          <w:ilvl w:val="0"/>
          <w:numId w:val="1002"/>
        </w:numPr>
        <w:pStyle w:val="Compact"/>
      </w:pPr>
      <w:r>
        <w:rPr>
          <w:bCs/>
          <w:b/>
        </w:rPr>
        <w:t xml:space="preserve">Data Security:</w:t>
      </w:r>
      <w:r>
        <w:t xml:space="preserve"> </w:t>
      </w:r>
      <w:r>
        <w:t xml:space="preserve">Adherence to China's Cybersecurity Law and Data Security Law when recording and transmitting experimental data.</w:t>
      </w:r>
    </w:p>
    <w:bookmarkEnd w:id="22"/>
    <w:bookmarkStart w:id="23" w:name="X55f31abf83b1f03c5e73c8c14620f379f1bd4d6"/>
    <w:p>
      <w:pPr>
        <w:pStyle w:val="Heading2"/>
      </w:pPr>
      <w:r>
        <w:t xml:space="preserve">4. Environmental Considerations for Guangzhou</w:t>
      </w:r>
    </w:p>
    <w:p>
      <w:pPr>
        <w:pStyle w:val="FirstParagraph"/>
      </w:pPr>
      <w:r>
        <w:t xml:space="preserve">Guangzhou's subtropical climate significantly impacts electronic experiments. The following factors must be accounted for:</w:t>
      </w:r>
    </w:p>
    <w:p>
      <w:pPr>
        <w:numPr>
          <w:ilvl w:val="0"/>
          <w:numId w:val="1003"/>
        </w:numPr>
        <w:pStyle w:val="Compact"/>
      </w:pPr>
      <w:r>
        <w:rPr>
          <w:bCs/>
          <w:b/>
        </w:rPr>
        <w:t xml:space="preserve">High Humidity:</w:t>
      </w:r>
      <w:r>
        <w:t xml:space="preserve"> </w:t>
      </w:r>
      <w:r>
        <w:t xml:space="preserve">Average annual humidity exceeds 70%. Experiments must include measures to prevent condensation, corrosion, and insulation breakdown. Use of conformal coatings and humidity-controlled chambers is recommended.</w:t>
      </w:r>
    </w:p>
    <w:p>
      <w:pPr>
        <w:numPr>
          <w:ilvl w:val="0"/>
          <w:numId w:val="1003"/>
        </w:numPr>
        <w:pStyle w:val="Compact"/>
      </w:pPr>
      <w:r>
        <w:rPr>
          <w:bCs/>
          <w:b/>
        </w:rPr>
        <w:t xml:space="preserve">Temperature Variations:</w:t>
      </w:r>
      <w:r>
        <w:t xml:space="preserve"> </w:t>
      </w:r>
      <w:r>
        <w:t xml:space="preserve">Summer temperatures can exceed 35°C. Thermal management and cooling solutions must be validated under these conditions.</w:t>
      </w:r>
    </w:p>
    <w:p>
      <w:pPr>
        <w:numPr>
          <w:ilvl w:val="0"/>
          <w:numId w:val="1003"/>
        </w:numPr>
        <w:pStyle w:val="Compact"/>
      </w:pPr>
      <w:r>
        <w:rPr>
          <w:bCs/>
          <w:b/>
        </w:rPr>
        <w:t xml:space="preserve">Electromagnetic Environment:</w:t>
      </w:r>
      <w:r>
        <w:t xml:space="preserve"> </w:t>
      </w:r>
      <w:r>
        <w:t xml:space="preserve">As a densely populated urban and industrial area, Guangzhou has a complex electromagnetic landscape. EMC testing must consider local interference sources.</w:t>
      </w:r>
    </w:p>
    <w:bookmarkEnd w:id="23"/>
    <w:bookmarkStart w:id="26" w:name="experimental-setup-and-equipment"/>
    <w:p>
      <w:pPr>
        <w:pStyle w:val="Heading2"/>
      </w:pPr>
      <w:r>
        <w:t xml:space="preserve">5. Experimental Setup and Equipment</w:t>
      </w:r>
    </w:p>
    <w:bookmarkStart w:id="24" w:name="laboratory-requirements"/>
    <w:p>
      <w:pPr>
        <w:pStyle w:val="Heading3"/>
      </w:pPr>
      <w:r>
        <w:t xml:space="preserve">5.1 Laboratory Requirements</w:t>
      </w:r>
    </w:p>
    <w:p>
      <w:pPr>
        <w:pStyle w:val="FirstParagraph"/>
      </w:pPr>
      <w:r>
        <w:t xml:space="preserve">Experiments must be conducted in accredited laboratories equipped with:</w:t>
      </w:r>
    </w:p>
    <w:p>
      <w:pPr>
        <w:numPr>
          <w:ilvl w:val="0"/>
          <w:numId w:val="1004"/>
        </w:numPr>
        <w:pStyle w:val="Compact"/>
      </w:pPr>
      <w:r>
        <w:t xml:space="preserve">Stable power supply with voltage regulation (220V AC, 50Hz).</w:t>
      </w:r>
    </w:p>
    <w:p>
      <w:pPr>
        <w:numPr>
          <w:ilvl w:val="0"/>
          <w:numId w:val="1004"/>
        </w:numPr>
        <w:pStyle w:val="Compact"/>
      </w:pPr>
      <w:r>
        <w:t xml:space="preserve">Grounding systems compliant with GB/T 50065.</w:t>
      </w:r>
    </w:p>
    <w:p>
      <w:pPr>
        <w:numPr>
          <w:ilvl w:val="0"/>
          <w:numId w:val="1004"/>
        </w:numPr>
        <w:pStyle w:val="Compact"/>
      </w:pPr>
      <w:r>
        <w:t xml:space="preserve">Environmental control systems to maintain specified temperature and humidity levels.</w:t>
      </w:r>
    </w:p>
    <w:p>
      <w:pPr>
        <w:numPr>
          <w:ilvl w:val="0"/>
          <w:numId w:val="1004"/>
        </w:numPr>
        <w:pStyle w:val="Compact"/>
      </w:pPr>
      <w:r>
        <w:t xml:space="preserve">Shielded enclosures for sensitive measurements.</w:t>
      </w:r>
    </w:p>
    <w:bookmarkEnd w:id="24"/>
    <w:bookmarkStart w:id="25" w:name="instrumentation"/>
    <w:p>
      <w:pPr>
        <w:pStyle w:val="Heading3"/>
      </w:pPr>
      <w:r>
        <w:t xml:space="preserve">5.2 Instrumentation</w:t>
      </w:r>
    </w:p>
    <w:p>
      <w:pPr>
        <w:pStyle w:val="FirstParagraph"/>
      </w:pPr>
      <w:r>
        <w:t xml:space="preserve">All measurement instruments must be calibrated according to ISO/IEC 17025 standards and traceable to national standards in China. Key equipment includes:</w:t>
      </w:r>
    </w:p>
    <w:p>
      <w:pPr>
        <w:numPr>
          <w:ilvl w:val="0"/>
          <w:numId w:val="1005"/>
        </w:numPr>
        <w:pStyle w:val="Compact"/>
      </w:pPr>
      <w:r>
        <w:t xml:space="preserve">Digital oscilloscopes with bandwidth appropriate for the signals under test.</w:t>
      </w:r>
    </w:p>
    <w:p>
      <w:pPr>
        <w:numPr>
          <w:ilvl w:val="0"/>
          <w:numId w:val="1005"/>
        </w:numPr>
        <w:pStyle w:val="Compact"/>
      </w:pPr>
      <w:r>
        <w:t xml:space="preserve">Logic analyzers for digital circuit verification.</w:t>
      </w:r>
    </w:p>
    <w:p>
      <w:pPr>
        <w:numPr>
          <w:ilvl w:val="0"/>
          <w:numId w:val="1005"/>
        </w:numPr>
        <w:pStyle w:val="Compact"/>
      </w:pPr>
      <w:r>
        <w:t xml:space="preserve">Power supplies with programmable output and protection features.</w:t>
      </w:r>
    </w:p>
    <w:p>
      <w:pPr>
        <w:numPr>
          <w:ilvl w:val="0"/>
          <w:numId w:val="1005"/>
        </w:numPr>
        <w:pStyle w:val="Compact"/>
      </w:pPr>
      <w:r>
        <w:t xml:space="preserve">EMC test receivers and antennas for radiated and conducted emissions testing.</w:t>
      </w:r>
    </w:p>
    <w:p>
      <w:pPr>
        <w:numPr>
          <w:ilvl w:val="0"/>
          <w:numId w:val="1005"/>
        </w:numPr>
        <w:pStyle w:val="Compact"/>
      </w:pPr>
      <w:r>
        <w:t xml:space="preserve">Thermal imaging cameras for heat distribution analysis.</w:t>
      </w:r>
    </w:p>
    <w:bookmarkEnd w:id="25"/>
    <w:bookmarkEnd w:id="26"/>
    <w:bookmarkStart w:id="30" w:name="experimental-procedure"/>
    <w:p>
      <w:pPr>
        <w:pStyle w:val="Heading2"/>
      </w:pPr>
      <w:r>
        <w:t xml:space="preserve">6. Experimental Procedure</w:t>
      </w:r>
    </w:p>
    <w:bookmarkStart w:id="27" w:name="pre-experiment-phase"/>
    <w:p>
      <w:pPr>
        <w:pStyle w:val="Heading3"/>
      </w:pPr>
      <w:r>
        <w:t xml:space="preserve">6.1 Pre-Experiment Phase</w:t>
      </w:r>
    </w:p>
    <w:p>
      <w:pPr>
        <w:numPr>
          <w:ilvl w:val="0"/>
          <w:numId w:val="1006"/>
        </w:numPr>
        <w:pStyle w:val="Compact"/>
      </w:pPr>
      <w:r>
        <w:t xml:space="preserve">Define clear objectives, hypotheses, and success criteria for the experiment.</w:t>
      </w:r>
    </w:p>
    <w:p>
      <w:pPr>
        <w:numPr>
          <w:ilvl w:val="0"/>
          <w:numId w:val="1006"/>
        </w:numPr>
        <w:pStyle w:val="Compact"/>
      </w:pPr>
      <w:r>
        <w:t xml:space="preserve">Conduct a risk assessment, identifying potential electrical, thermal, and environmental hazards.</w:t>
      </w:r>
    </w:p>
    <w:p>
      <w:pPr>
        <w:numPr>
          <w:ilvl w:val="0"/>
          <w:numId w:val="1006"/>
        </w:numPr>
        <w:pStyle w:val="Compact"/>
      </w:pPr>
      <w:r>
        <w:t xml:space="preserve">Prepare detailed test plans and checklists.</w:t>
      </w:r>
    </w:p>
    <w:p>
      <w:pPr>
        <w:numPr>
          <w:ilvl w:val="0"/>
          <w:numId w:val="1006"/>
        </w:numPr>
        <w:pStyle w:val="Compact"/>
      </w:pPr>
      <w:r>
        <w:t xml:space="preserve">Verify calibration status of all instruments.</w:t>
      </w:r>
    </w:p>
    <w:p>
      <w:pPr>
        <w:numPr>
          <w:ilvl w:val="0"/>
          <w:numId w:val="1006"/>
        </w:numPr>
        <w:pStyle w:val="Compact"/>
      </w:pPr>
      <w:r>
        <w:t xml:space="preserve">Ensure all personnel are trained and briefed on safety procedures.</w:t>
      </w:r>
    </w:p>
    <w:bookmarkEnd w:id="27"/>
    <w:bookmarkStart w:id="28" w:name="execution-phase"/>
    <w:p>
      <w:pPr>
        <w:pStyle w:val="Heading3"/>
      </w:pPr>
      <w:r>
        <w:t xml:space="preserve">6.2 Execution Phase</w:t>
      </w:r>
    </w:p>
    <w:p>
      <w:pPr>
        <w:numPr>
          <w:ilvl w:val="0"/>
          <w:numId w:val="1007"/>
        </w:numPr>
        <w:pStyle w:val="Compact"/>
      </w:pPr>
      <w:r>
        <w:t xml:space="preserve">Set up the test environment according to the approved plan.</w:t>
      </w:r>
    </w:p>
    <w:p>
      <w:pPr>
        <w:numPr>
          <w:ilvl w:val="0"/>
          <w:numId w:val="1007"/>
        </w:numPr>
        <w:pStyle w:val="Compact"/>
      </w:pPr>
      <w:r>
        <w:t xml:space="preserve">Perform initial checks to confirm correct wiring, grounding, and instrument configuration.</w:t>
      </w:r>
    </w:p>
    <w:p>
      <w:pPr>
        <w:numPr>
          <w:ilvl w:val="0"/>
          <w:numId w:val="1007"/>
        </w:numPr>
        <w:pStyle w:val="Compact"/>
      </w:pPr>
      <w:r>
        <w:t xml:space="preserve">Gradually apply power and monitor for anomalies.</w:t>
      </w:r>
    </w:p>
    <w:p>
      <w:pPr>
        <w:numPr>
          <w:ilvl w:val="0"/>
          <w:numId w:val="1007"/>
        </w:numPr>
        <w:pStyle w:val="Compact"/>
      </w:pPr>
      <w:r>
        <w:t xml:space="preserve">Collect data systematically, ensuring accurate labeling and timestamping.</w:t>
      </w:r>
    </w:p>
    <w:p>
      <w:pPr>
        <w:numPr>
          <w:ilvl w:val="0"/>
          <w:numId w:val="1007"/>
        </w:numPr>
        <w:pStyle w:val="Compact"/>
      </w:pPr>
      <w:r>
        <w:t xml:space="preserve">Document any deviations from the expected behavior or procedure.</w:t>
      </w:r>
    </w:p>
    <w:bookmarkEnd w:id="28"/>
    <w:bookmarkStart w:id="29" w:name="post-experiment-phase"/>
    <w:p>
      <w:pPr>
        <w:pStyle w:val="Heading3"/>
      </w:pPr>
      <w:r>
        <w:t xml:space="preserve">6.3 Post-Experiment Phase</w:t>
      </w:r>
    </w:p>
    <w:p>
      <w:pPr>
        <w:numPr>
          <w:ilvl w:val="0"/>
          <w:numId w:val="1008"/>
        </w:numPr>
        <w:pStyle w:val="Compact"/>
      </w:pPr>
      <w:r>
        <w:t xml:space="preserve">Safely power down and disconnect all equipment.</w:t>
      </w:r>
    </w:p>
    <w:p>
      <w:pPr>
        <w:numPr>
          <w:ilvl w:val="0"/>
          <w:numId w:val="1008"/>
        </w:numPr>
        <w:pStyle w:val="Compact"/>
      </w:pPr>
      <w:r>
        <w:t xml:space="preserve">Organize and back up experimental data in accordance with data security policies.</w:t>
      </w:r>
    </w:p>
    <w:p>
      <w:pPr>
        <w:numPr>
          <w:ilvl w:val="0"/>
          <w:numId w:val="1008"/>
        </w:numPr>
        <w:pStyle w:val="Compact"/>
      </w:pPr>
      <w:r>
        <w:t xml:space="preserve">Analyze results against objectives and success criteria.</w:t>
      </w:r>
    </w:p>
    <w:p>
      <w:pPr>
        <w:numPr>
          <w:ilvl w:val="0"/>
          <w:numId w:val="1008"/>
        </w:numPr>
        <w:pStyle w:val="Compact"/>
      </w:pPr>
      <w:r>
        <w:t xml:space="preserve">Prepare a comprehensive report detailing methodology, data, analysis, and conclusions.</w:t>
      </w:r>
    </w:p>
    <w:p>
      <w:pPr>
        <w:numPr>
          <w:ilvl w:val="0"/>
          <w:numId w:val="1008"/>
        </w:numPr>
        <w:pStyle w:val="Compact"/>
      </w:pPr>
      <w:r>
        <w:t xml:space="preserve">Store or dispose of test materials and components as per environmental regulations.</w:t>
      </w:r>
    </w:p>
    <w:bookmarkEnd w:id="29"/>
    <w:bookmarkEnd w:id="30"/>
    <w:bookmarkStart w:id="31" w:name="safety-protocols"/>
    <w:p>
      <w:pPr>
        <w:pStyle w:val="Heading2"/>
      </w:pPr>
      <w:r>
        <w:t xml:space="preserve">7. Safety Protocols</w:t>
      </w:r>
    </w:p>
    <w:p>
      <w:pPr>
        <w:pStyle w:val="FirstParagraph"/>
      </w:pPr>
      <w:r>
        <w:t xml:space="preserve">Electronics Engineers must adhere to the following safety measures:</w:t>
      </w:r>
    </w:p>
    <w:p>
      <w:pPr>
        <w:numPr>
          <w:ilvl w:val="0"/>
          <w:numId w:val="1009"/>
        </w:numPr>
        <w:pStyle w:val="Compact"/>
      </w:pPr>
      <w:r>
        <w:t xml:space="preserve">Wear appropriate personal protective equipment (PPE), including safety glasses and anti-static wrist straps.</w:t>
      </w:r>
    </w:p>
    <w:p>
      <w:pPr>
        <w:numPr>
          <w:ilvl w:val="0"/>
          <w:numId w:val="1009"/>
        </w:numPr>
        <w:pStyle w:val="Compact"/>
      </w:pPr>
      <w:r>
        <w:t xml:space="preserve">Never work on live circuits unless absolutely necessary and with proper precautions.</w:t>
      </w:r>
    </w:p>
    <w:p>
      <w:pPr>
        <w:numPr>
          <w:ilvl w:val="0"/>
          <w:numId w:val="1009"/>
        </w:numPr>
        <w:pStyle w:val="Compact"/>
      </w:pPr>
      <w:r>
        <w:t xml:space="preserve">Use insulated tools and mats when handling high-voltage equipment.</w:t>
      </w:r>
    </w:p>
    <w:p>
      <w:pPr>
        <w:numPr>
          <w:ilvl w:val="0"/>
          <w:numId w:val="1009"/>
        </w:numPr>
        <w:pStyle w:val="Compact"/>
      </w:pPr>
      <w:r>
        <w:t xml:space="preserve">Ensure emergency shutdown procedures are known and accessible.</w:t>
      </w:r>
    </w:p>
    <w:p>
      <w:pPr>
        <w:numPr>
          <w:ilvl w:val="0"/>
          <w:numId w:val="1009"/>
        </w:numPr>
        <w:pStyle w:val="Compact"/>
      </w:pPr>
      <w:r>
        <w:t xml:space="preserve">Report all incidents, near-misses, or equipment malfunctions immediately.</w:t>
      </w:r>
    </w:p>
    <w:bookmarkEnd w:id="31"/>
    <w:bookmarkStart w:id="32" w:name="documentation-and-reporting"/>
    <w:p>
      <w:pPr>
        <w:pStyle w:val="Heading2"/>
      </w:pPr>
      <w:r>
        <w:t xml:space="preserve">8. Documentation and Reporting</w:t>
      </w:r>
    </w:p>
    <w:p>
      <w:pPr>
        <w:pStyle w:val="FirstParagraph"/>
      </w:pPr>
      <w:r>
        <w:t xml:space="preserve">Accurate documentation is critical for reproducibility and compliance. All experiments must be recorded in a standardized format, including:</w:t>
      </w:r>
    </w:p>
    <w:p>
      <w:pPr>
        <w:numPr>
          <w:ilvl w:val="0"/>
          <w:numId w:val="1010"/>
        </w:numPr>
        <w:pStyle w:val="Compact"/>
      </w:pPr>
      <w:r>
        <w:t xml:space="preserve">Experiment title, ID, and date.</w:t>
      </w:r>
    </w:p>
    <w:p>
      <w:pPr>
        <w:numPr>
          <w:ilvl w:val="0"/>
          <w:numId w:val="1010"/>
        </w:numPr>
        <w:pStyle w:val="Compact"/>
      </w:pPr>
      <w:r>
        <w:t xml:space="preserve">Names and roles of personnel involved.</w:t>
      </w:r>
    </w:p>
    <w:p>
      <w:pPr>
        <w:numPr>
          <w:ilvl w:val="0"/>
          <w:numId w:val="1010"/>
        </w:numPr>
        <w:pStyle w:val="Compact"/>
      </w:pPr>
      <w:r>
        <w:t xml:space="preserve">Detailed description of the setup and procedures.</w:t>
      </w:r>
    </w:p>
    <w:p>
      <w:pPr>
        <w:numPr>
          <w:ilvl w:val="0"/>
          <w:numId w:val="1010"/>
        </w:numPr>
        <w:pStyle w:val="Compact"/>
      </w:pPr>
      <w:r>
        <w:t xml:space="preserve">Raw data and processed results.</w:t>
      </w:r>
    </w:p>
    <w:p>
      <w:pPr>
        <w:numPr>
          <w:ilvl w:val="0"/>
          <w:numId w:val="1010"/>
        </w:numPr>
        <w:pStyle w:val="Compact"/>
      </w:pPr>
      <w:r>
        <w:t xml:space="preserve">Analysis and interpretation of findings.</w:t>
      </w:r>
    </w:p>
    <w:p>
      <w:pPr>
        <w:numPr>
          <w:ilvl w:val="0"/>
          <w:numId w:val="1010"/>
        </w:numPr>
        <w:pStyle w:val="Compact"/>
      </w:pPr>
      <w:r>
        <w:t xml:space="preserve">Recommendations for further work or improvements.</w:t>
      </w:r>
    </w:p>
    <w:bookmarkEnd w:id="32"/>
    <w:bookmarkStart w:id="33" w:name="review-and-approval"/>
    <w:p>
      <w:pPr>
        <w:pStyle w:val="Heading2"/>
      </w:pPr>
      <w:r>
        <w:t xml:space="preserve">9. Review and Approval</w:t>
      </w:r>
    </w:p>
    <w:p>
      <w:pPr>
        <w:pStyle w:val="FirstParagraph"/>
      </w:pPr>
      <w:r>
        <w:t xml:space="preserve">This Experiment Protocol must be reviewed and approved by the designated Engineering Manager and Safety Officer before implementation. Periodic reviews will be conducted to incorporate lessons learned and updates to regulations or best practices.</w:t>
      </w:r>
    </w:p>
    <w:p>
      <w:pPr>
        <w:pStyle w:val="BodyText"/>
      </w:pPr>
      <w:r>
        <w:t xml:space="preserve">© 2023 Electronics Engineering Division, Guangzhou, China. All rights reserved.</w:t>
      </w:r>
    </w:p>
    <w:p>
      <w:pPr>
        <w:pStyle w:val="BodyText"/>
      </w:pPr>
      <w:r>
        <w:t xml:space="preserve">For questions or clarifications, contact the Engineering Standards Committee.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Operations in Guangzhou, China</dc:title>
  <dc:creator/>
  <dc:language>en</dc:language>
  <cp:keywords/>
  <dcterms:created xsi:type="dcterms:W3CDTF">2026-10-10T03:27:59Z</dcterms:created>
  <dcterms:modified xsi:type="dcterms:W3CDTF">2026-10-10T03:27:59Z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