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Electronics</w:t>
      </w:r>
      <w:r>
        <w:t xml:space="preserve"> </w:t>
      </w:r>
      <w:r>
        <w:t xml:space="preserve">Engineering</w:t>
      </w:r>
      <w:r>
        <w:t xml:space="preserve"> </w:t>
      </w:r>
      <w:r>
        <w:t xml:space="preserve">Standards</w:t>
      </w:r>
      <w:r>
        <w:t xml:space="preserve"> </w:t>
      </w:r>
      <w:r>
        <w:t xml:space="preserve">-</w:t>
      </w:r>
      <w:r>
        <w:t xml:space="preserve"> </w:t>
      </w:r>
      <w:r>
        <w:t xml:space="preserve">Munich,</w:t>
      </w:r>
      <w:r>
        <w:t xml:space="preserve"> </w:t>
      </w:r>
      <w:r>
        <w:t xml:space="preserve">Germany</w:t>
      </w:r>
    </w:p>
    <w:p>
      <w:pPr>
        <w:pStyle w:val="FirstParagraph"/>
      </w:pPr>
      <w:r>
        <w:rPr>
          <w:bCs/>
          <w:b/>
        </w:rPr>
        <w:t xml:space="preserve">Document ID:</w:t>
      </w:r>
      <w:r>
        <w:t xml:space="preserve"> </w:t>
      </w:r>
      <w:r>
        <w:t xml:space="preserve">EXP-EE-MUC-2023-001</w:t>
      </w:r>
      <w:r>
        <w:br/>
      </w:r>
      <w:r>
        <w:rPr>
          <w:bCs/>
          <w:b/>
        </w:rPr>
        <w:t xml:space="preserve">Version:</w:t>
      </w:r>
      <w:r>
        <w:t xml:space="preserve"> </w:t>
      </w:r>
      <w:r>
        <w:t xml:space="preserve">1.0</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Munich, Bavaria, Germany</w:t>
      </w:r>
    </w:p>
    <w:bookmarkStart w:id="32" w:name="X60610c9ef6fbfb578f6b3027568ab5524619113"/>
    <w:p>
      <w:pPr>
        <w:pStyle w:val="Heading1"/>
      </w:pPr>
      <w:r>
        <w:t xml:space="preserve">Experiment Protocol: High-Frequency Circuit Characterization</w:t>
      </w:r>
    </w:p>
    <w:p>
      <w:pPr>
        <w:pStyle w:val="FirstParagraph"/>
      </w:pPr>
      <w:r>
        <w:rPr>
          <w:bCs/>
          <w:b/>
        </w:rPr>
        <w:t xml:space="preserve">Role:</w:t>
      </w:r>
      <w:r>
        <w:t xml:space="preserve"> </w:t>
      </w:r>
      <w:r>
        <w:t xml:space="preserve">Electronics Engineer</w:t>
      </w:r>
      <w:r>
        <w:br/>
      </w:r>
      <w:r>
        <w:rPr>
          <w:bCs/>
          <w:b/>
        </w:rPr>
        <w:t xml:space="preserve">Department:</w:t>
      </w:r>
      <w:r>
        <w:t xml:space="preserve"> </w:t>
      </w:r>
      <w:r>
        <w:t xml:space="preserve">R&amp;D Hardware Development</w:t>
      </w:r>
      <w:r>
        <w:br/>
      </w:r>
      <w:r>
        <w:rPr>
          <w:bCs/>
          <w:b/>
        </w:rPr>
        <w:t xml:space="preserve">Compliance:</w:t>
      </w:r>
      <w:r>
        <w:t xml:space="preserve"> </w:t>
      </w:r>
      <w:r>
        <w:t xml:space="preserve">DIN EN 61010-1, VDE 0100, GDPR</w:t>
      </w:r>
    </w:p>
    <w:bookmarkStart w:id="20" w:name="introduction-and-objective"/>
    <w:p>
      <w:pPr>
        <w:pStyle w:val="Heading2"/>
      </w:pPr>
      <w:r>
        <w:t xml:space="preserve">1. Introduction and Objective</w:t>
      </w:r>
    </w:p>
    <w:p>
      <w:pPr>
        <w:pStyle w:val="FirstParagraph"/>
      </w:pPr>
      <w:r>
        <w:t xml:space="preserve">This Experiment Protocol defines the standardized procedures for the characterization of high-frequency printed circuit boards (PCBs) within the research and development facility located in Munich, Germany. As an Electronics Engineer operating in this region, adherence to rigorous testing methodologies is paramount. The primary objective of this protocol is to validate the signal integrity and electromagnetic compatibility (EMC) of prototype circuits before they proceed to the mass production phase.</w:t>
      </w:r>
    </w:p>
    <w:p>
      <w:pPr>
        <w:pStyle w:val="BodyText"/>
      </w:pPr>
      <w:r>
        <w:t xml:space="preserve">Given Munich's status as a global hub for automotive technology, semiconductor manufacturing, and telecommunications, the standards applied here must align with both international best practices and specific German regulatory frameworks. This document ensures that all experimental data is reproducible, safe, and legally compliant.</w:t>
      </w:r>
    </w:p>
    <w:bookmarkEnd w:id="20"/>
    <w:bookmarkStart w:id="21" w:name="scope-and-applicability"/>
    <w:p>
      <w:pPr>
        <w:pStyle w:val="Heading2"/>
      </w:pPr>
      <w:r>
        <w:t xml:space="preserve">2. Scope and Applicability</w:t>
      </w:r>
    </w:p>
    <w:p>
      <w:pPr>
        <w:pStyle w:val="FirstParagraph"/>
      </w:pPr>
      <w:r>
        <w:t xml:space="preserve">This protocol applies to all Electronics Engineers, technical assistants, and external contractors working within the Munich laboratory facilities. It covers the setup, execution, data acquisition, and teardown of experiments involving active electronic components operating at frequencies up to 6 GHz.</w:t>
      </w:r>
    </w:p>
    <w:p>
      <w:pPr>
        <w:pStyle w:val="BodyText"/>
      </w:pPr>
      <w:r>
        <w:t xml:space="preserve">The scope includes the usage of vector network analyzers (VNA), oscilloscopes, and anechoic chambers. It explicitly excludes high-voltage power grid testing, which is governed by a separate protocol under VDE regulations.</w:t>
      </w:r>
    </w:p>
    <w:bookmarkEnd w:id="21"/>
    <w:bookmarkStart w:id="22" w:name="Xc1bf6019d7c7f546cd756b019a9b2d8bdab0c79"/>
    <w:p>
      <w:pPr>
        <w:pStyle w:val="Heading2"/>
      </w:pPr>
      <w:r>
        <w:t xml:space="preserve">3. Regulatory Compliance and Safety Standards</w:t>
      </w:r>
    </w:p>
    <w:p>
      <w:pPr>
        <w:pStyle w:val="FirstParagraph"/>
      </w:pPr>
      <w:r>
        <w:t xml:space="preserve">Working as an Electronics Engineer in Germany requires strict adherence to safety laws. This experiment must be conducted in compliance with the following standards:</w:t>
      </w:r>
    </w:p>
    <w:p>
      <w:pPr>
        <w:numPr>
          <w:ilvl w:val="0"/>
          <w:numId w:val="1001"/>
        </w:numPr>
        <w:pStyle w:val="Compact"/>
      </w:pPr>
      <w:r>
        <w:rPr>
          <w:bCs/>
          <w:b/>
        </w:rPr>
        <w:t xml:space="preserve">DIN EN 61010-1:</w:t>
      </w:r>
      <w:r>
        <w:t xml:space="preserve"> </w:t>
      </w:r>
      <w:r>
        <w:t xml:space="preserve">Safety requirements for electrical equipment for measurement, control, and laboratory use.</w:t>
      </w:r>
    </w:p>
    <w:p>
      <w:pPr>
        <w:numPr>
          <w:ilvl w:val="0"/>
          <w:numId w:val="1001"/>
        </w:numPr>
        <w:pStyle w:val="Compact"/>
      </w:pPr>
      <w:r>
        <w:rPr>
          <w:bCs/>
          <w:b/>
        </w:rPr>
        <w:t xml:space="preserve">VDE 0100:</w:t>
      </w:r>
      <w:r>
        <w:t xml:space="preserve"> </w:t>
      </w:r>
      <w:r>
        <w:t xml:space="preserve">Installation rules for low-voltage electrical installations.</w:t>
      </w:r>
    </w:p>
    <w:p>
      <w:pPr>
        <w:numPr>
          <w:ilvl w:val="0"/>
          <w:numId w:val="1001"/>
        </w:numPr>
        <w:pStyle w:val="Compact"/>
      </w:pPr>
      <w:r>
        <w:rPr>
          <w:bCs/>
          <w:b/>
        </w:rPr>
        <w:t xml:space="preserve">BG ETEM Guidelines:</w:t>
      </w:r>
      <w:r>
        <w:t xml:space="preserve"> </w:t>
      </w:r>
      <w:r>
        <w:t xml:space="preserve">Safety regulations for the electrical, electronic, and media technology industry.</w:t>
      </w:r>
    </w:p>
    <w:p>
      <w:pPr>
        <w:numPr>
          <w:ilvl w:val="0"/>
          <w:numId w:val="1001"/>
        </w:numPr>
        <w:pStyle w:val="Compact"/>
      </w:pPr>
      <w:r>
        <w:rPr>
          <w:bCs/>
          <w:b/>
        </w:rPr>
        <w:t xml:space="preserve">EMV-Gesetz (EMC Act):</w:t>
      </w:r>
      <w:r>
        <w:t xml:space="preserve"> </w:t>
      </w:r>
      <w:r>
        <w:t xml:space="preserve">Ensuring that the experimental setup does not emit interference exceeding legal limits in the German frequency spectrum.</w:t>
      </w:r>
    </w:p>
    <w:p>
      <w:pPr>
        <w:pStyle w:val="FirstParagraph"/>
      </w:pPr>
      <w:r>
        <w:rPr>
          <w:bCs/>
          <w:b/>
        </w:rPr>
        <w:t xml:space="preserve">Safety Warning:</w:t>
      </w:r>
      <w:r>
        <w:t xml:space="preserve"> </w:t>
      </w:r>
      <w:r>
        <w:t xml:space="preserve">All personnel must wear appropriate Personal Protective Equipment (PPE), including anti-static wrist straps and safety glasses. In the event of a short circuit or smoke, the emergency stop button located at the main bench must be activated immediately.</w:t>
      </w:r>
    </w:p>
    <w:bookmarkEnd w:id="22"/>
    <w:bookmarkStart w:id="23" w:name="equipment-and-materials"/>
    <w:p>
      <w:pPr>
        <w:pStyle w:val="Heading2"/>
      </w:pPr>
      <w:r>
        <w:t xml:space="preserve">4. Equipment and Materials</w:t>
      </w:r>
    </w:p>
    <w:p>
      <w:pPr>
        <w:pStyle w:val="FirstParagraph"/>
      </w:pPr>
      <w:r>
        <w:t xml:space="preserve">The following calibrated equipment is required for this experiment. All devices must have valid calibration certificates traceable to the PTB (Physikalisch-Technische Bundesanstalt), the national metrology institute of Germany.</w:t>
      </w:r>
    </w:p>
    <w:p>
      <w:pPr>
        <w:numPr>
          <w:ilvl w:val="0"/>
          <w:numId w:val="1002"/>
        </w:numPr>
        <w:pStyle w:val="Compact"/>
      </w:pPr>
      <w:r>
        <w:t xml:space="preserve">Vector Network Analyzer (VNA) with frequency range up to 6 GHz.</w:t>
      </w:r>
    </w:p>
    <w:p>
      <w:pPr>
        <w:numPr>
          <w:ilvl w:val="0"/>
          <w:numId w:val="1002"/>
        </w:numPr>
        <w:pStyle w:val="Compact"/>
      </w:pPr>
      <w:r>
        <w:t xml:space="preserve">High-bandwidth Digital Oscilloscope (minimum 20 GS/s).</w:t>
      </w:r>
    </w:p>
    <w:p>
      <w:pPr>
        <w:numPr>
          <w:ilvl w:val="0"/>
          <w:numId w:val="1002"/>
        </w:numPr>
        <w:pStyle w:val="Compact"/>
      </w:pPr>
      <w:r>
        <w:t xml:space="preserve">RF Shielded Enclosure (Anechoic Chamber).</w:t>
      </w:r>
    </w:p>
    <w:p>
      <w:pPr>
        <w:numPr>
          <w:ilvl w:val="0"/>
          <w:numId w:val="1002"/>
        </w:numPr>
        <w:pStyle w:val="Compact"/>
      </w:pPr>
      <w:r>
        <w:t xml:space="preserve">Calibrated RF Cables and Connectors (SMA/N-Type).</w:t>
      </w:r>
    </w:p>
    <w:p>
      <w:pPr>
        <w:numPr>
          <w:ilvl w:val="0"/>
          <w:numId w:val="1002"/>
        </w:numPr>
        <w:pStyle w:val="Compact"/>
      </w:pPr>
      <w:r>
        <w:t xml:space="preserve">Under Test (DUT) PCB Prototype.</w:t>
      </w:r>
    </w:p>
    <w:p>
      <w:pPr>
        <w:numPr>
          <w:ilvl w:val="0"/>
          <w:numId w:val="1002"/>
        </w:numPr>
        <w:pStyle w:val="Compact"/>
      </w:pPr>
      <w:r>
        <w:t xml:space="preserve">ESD-safe workbench matting.</w:t>
      </w:r>
    </w:p>
    <w:bookmarkEnd w:id="23"/>
    <w:bookmarkStart w:id="28" w:name="experimental-procedure"/>
    <w:p>
      <w:pPr>
        <w:pStyle w:val="Heading2"/>
      </w:pPr>
      <w:r>
        <w:t xml:space="preserve">5. Experimental Procedure</w:t>
      </w:r>
    </w:p>
    <w:bookmarkStart w:id="24" w:name="preparation-phase"/>
    <w:p>
      <w:pPr>
        <w:pStyle w:val="Heading3"/>
      </w:pPr>
      <w:r>
        <w:t xml:space="preserve">5.1 Preparation Phase</w:t>
      </w:r>
    </w:p>
    <w:p>
      <w:pPr>
        <w:pStyle w:val="FirstParagraph"/>
      </w:pPr>
      <w:r>
        <w:t xml:space="preserve">Before initiating the experiment, the Electronics Engineer must verify the integrity of the test environment. Ensure that the RF shielded enclosure is properly sealed to prevent external signal leakage, which is critical for maintaining the accuracy of measurements in a dense urban environment like Munich. Perform a visual inspection of the DUT for physical defects, soldering bridges, or component misalignment.</w:t>
      </w:r>
    </w:p>
    <w:bookmarkEnd w:id="24"/>
    <w:bookmarkStart w:id="25" w:name="calibration"/>
    <w:p>
      <w:pPr>
        <w:pStyle w:val="Heading3"/>
      </w:pPr>
      <w:r>
        <w:t xml:space="preserve">5.2 Calibration</w:t>
      </w:r>
    </w:p>
    <w:p>
      <w:pPr>
        <w:pStyle w:val="FirstParagraph"/>
      </w:pPr>
      <w:r>
        <w:t xml:space="preserve">Calibrate the VNA using the SOLT (Short, Open, Load, Thru) method at the reference plane of the DUT connectors. This step is crucial to eliminate systematic errors introduced by cables and adapters. Record the calibration data in the laboratory logbook.</w:t>
      </w:r>
    </w:p>
    <w:bookmarkEnd w:id="25"/>
    <w:bookmarkStart w:id="26" w:name="data-acquisition"/>
    <w:p>
      <w:pPr>
        <w:pStyle w:val="Heading3"/>
      </w:pPr>
      <w:r>
        <w:t xml:space="preserve">5.3 Data Acquisition</w:t>
      </w:r>
    </w:p>
    <w:p>
      <w:pPr>
        <w:pStyle w:val="FirstParagraph"/>
      </w:pPr>
      <w:r>
        <w:t xml:space="preserve">Connect the DUT to the measurement instruments using calibrated cables. Power on the DUT using a regulated DC power supply. Begin the S-parameter measurement sweep from 10 MHz to 6 GHz. Simultaneously, capture time-domain reflectometry (TDR) data to analyze impedance discontinuities.</w:t>
      </w:r>
    </w:p>
    <w:p>
      <w:pPr>
        <w:pStyle w:val="BodyText"/>
      </w:pPr>
      <w:r>
        <w:t xml:space="preserve">The Electronics Engineer must monitor the temperature of the components during the test. If the temperature exceeds 85°C, the test must be paused to prevent thermal damage, in accordance with component datasheets and safety protocols.</w:t>
      </w:r>
    </w:p>
    <w:bookmarkEnd w:id="26"/>
    <w:bookmarkStart w:id="27" w:name="teardown-and-cleanup"/>
    <w:p>
      <w:pPr>
        <w:pStyle w:val="Heading3"/>
      </w:pPr>
      <w:r>
        <w:t xml:space="preserve">5.4 Teardown and Cleanup</w:t>
      </w:r>
    </w:p>
    <w:p>
      <w:pPr>
        <w:pStyle w:val="FirstParagraph"/>
      </w:pPr>
      <w:r>
        <w:t xml:space="preserve">After data collection, power down the DUT and disconnect all cables. Store the DUT in an anti-static bag. Clean the workbench and return all equipment to their designated storage locations. Ensure that no hazardous waste is left on the bench.</w:t>
      </w:r>
    </w:p>
    <w:bookmarkEnd w:id="27"/>
    <w:bookmarkEnd w:id="28"/>
    <w:bookmarkStart w:id="29" w:name="data-analysis-and-reporting"/>
    <w:p>
      <w:pPr>
        <w:pStyle w:val="Heading2"/>
      </w:pPr>
      <w:r>
        <w:t xml:space="preserve">6. Data Analysis and Reporting</w:t>
      </w:r>
    </w:p>
    <w:p>
      <w:pPr>
        <w:pStyle w:val="FirstParagraph"/>
      </w:pPr>
      <w:r>
        <w:t xml:space="preserve">All raw data must be saved in a non-proprietary format (e.g., CSV or Touchstone) and uploaded to the company's secure server. The Electronics Engineer is responsible for analyzing the S-parameters to determine insertion loss, return loss, and crosstalk.</w:t>
      </w:r>
    </w:p>
    <w:p>
      <w:pPr>
        <w:pStyle w:val="BodyText"/>
      </w:pPr>
      <w:r>
        <w:t xml:space="preserve">The final report must include:</w:t>
      </w:r>
    </w:p>
    <w:p>
      <w:pPr>
        <w:numPr>
          <w:ilvl w:val="0"/>
          <w:numId w:val="1003"/>
        </w:numPr>
        <w:pStyle w:val="Compact"/>
      </w:pPr>
      <w:r>
        <w:t xml:space="preserve">Summary of experimental conditions.</w:t>
      </w:r>
    </w:p>
    <w:p>
      <w:pPr>
        <w:numPr>
          <w:ilvl w:val="0"/>
          <w:numId w:val="1003"/>
        </w:numPr>
        <w:pStyle w:val="Compact"/>
      </w:pPr>
      <w:r>
        <w:t xml:space="preserve">Graphs of S-parameters and TDR results.</w:t>
      </w:r>
    </w:p>
    <w:p>
      <w:pPr>
        <w:numPr>
          <w:ilvl w:val="0"/>
          <w:numId w:val="1003"/>
        </w:numPr>
        <w:pStyle w:val="Compact"/>
      </w:pPr>
      <w:r>
        <w:t xml:space="preserve">Comparison of results against design specifications.</w:t>
      </w:r>
    </w:p>
    <w:p>
      <w:pPr>
        <w:numPr>
          <w:ilvl w:val="0"/>
          <w:numId w:val="1003"/>
        </w:numPr>
        <w:pStyle w:val="Compact"/>
      </w:pPr>
      <w:r>
        <w:t xml:space="preserve">Identification of any anomalies or failures.</w:t>
      </w:r>
    </w:p>
    <w:p>
      <w:pPr>
        <w:numPr>
          <w:ilvl w:val="0"/>
          <w:numId w:val="1003"/>
        </w:numPr>
        <w:pStyle w:val="Compact"/>
      </w:pPr>
      <w:r>
        <w:t xml:space="preserve">Recommendations for design improvements.</w:t>
      </w:r>
    </w:p>
    <w:bookmarkEnd w:id="29"/>
    <w:bookmarkStart w:id="30" w:name="data-privacy-and-gdpr-compliance"/>
    <w:p>
      <w:pPr>
        <w:pStyle w:val="Heading2"/>
      </w:pPr>
      <w:r>
        <w:t xml:space="preserve">7. Data Privacy and GDPR Compliance</w:t>
      </w:r>
    </w:p>
    <w:p>
      <w:pPr>
        <w:pStyle w:val="FirstParagraph"/>
      </w:pPr>
      <w:r>
        <w:t xml:space="preserve">As this experiment is conducted in Germany, strict adherence to the General Data Protection Regulation (GDPR) is required. Any personal data associated with the experiment (e.g., names of engineers, timestamps) must be handled securely. Data should be anonymized where possible and stored on servers located within the European Union to ensure compliance with data sovereignty laws.</w:t>
      </w:r>
    </w:p>
    <w:bookmarkEnd w:id="30"/>
    <w:bookmarkStart w:id="31" w:name="conclusion"/>
    <w:p>
      <w:pPr>
        <w:pStyle w:val="Heading2"/>
      </w:pPr>
      <w:r>
        <w:t xml:space="preserve">8. Conclusion</w:t>
      </w:r>
    </w:p>
    <w:p>
      <w:pPr>
        <w:pStyle w:val="FirstParagraph"/>
      </w:pPr>
      <w:r>
        <w:t xml:space="preserve">This Experiment Protocol serves as a comprehensive guide for Electronics Engineers conducting high-frequency circuit characterization in Munich, Germany. By following these procedures, we ensure the safety of personnel, the accuracy of our measurements, and the compliance of our products with German and European regulations. Continuous review and updating of this protocol are necessary to keep pace with technological advancements and regulatory changes.</w:t>
      </w:r>
    </w:p>
    <w:p>
      <w:pPr>
        <w:pStyle w:val="BodyText"/>
      </w:pPr>
      <w:r>
        <w:rPr>
          <w:bCs/>
          <w:b/>
        </w:rPr>
        <w:t xml:space="preserve">Prepared by:</w:t>
      </w:r>
      <w:r>
        <w:br/>
      </w:r>
      <w:r>
        <w:t xml:space="preserve">[Name of Electronics Engineer]</w:t>
      </w:r>
      <w:r>
        <w:br/>
      </w:r>
      <w:r>
        <w:t xml:space="preserve">Date: _______________</w:t>
      </w:r>
    </w:p>
    <w:p>
      <w:pPr>
        <w:pStyle w:val="BodyText"/>
      </w:pPr>
      <w:r>
        <w:rPr>
          <w:bCs/>
          <w:b/>
        </w:rPr>
        <w:t xml:space="preserve">Approved by:</w:t>
      </w:r>
      <w:r>
        <w:br/>
      </w:r>
      <w:r>
        <w:t xml:space="preserve">[Name of Lab Manager]</w:t>
      </w:r>
      <w:r>
        <w:br/>
      </w:r>
      <w:r>
        <w:t xml:space="preserve">Date: _______________</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Electronics Engineering Standards - Munich, Germany</dc:title>
  <dc:creator/>
  <dc:language>en</dc:language>
  <cp:keywords/>
  <dcterms:created xsi:type="dcterms:W3CDTF">2026-10-10T03:03:24Z</dcterms:created>
  <dcterms:modified xsi:type="dcterms:W3CDTF">2026-10-10T03:03:24Z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