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Milan,</w:t>
      </w:r>
      <w:r>
        <w:t xml:space="preserve"> </w:t>
      </w:r>
      <w:r>
        <w:t xml:space="preserve">Italy</w:t>
      </w:r>
    </w:p>
    <w:bookmarkStart w:id="31" w:name="Xe322beb42ce0e2dc2bab4cfc66fc754c5044b99"/>
    <w:p>
      <w:pPr>
        <w:pStyle w:val="Heading1"/>
      </w:pPr>
      <w:r>
        <w:t xml:space="preserve">Experiment Protocol: Advanced Embedded Systems Validation</w:t>
      </w:r>
    </w:p>
    <w:p>
      <w:pPr>
        <w:pStyle w:val="FirstParagraph"/>
      </w:pPr>
      <w:r>
        <w:rPr>
          <w:bCs/>
          <w:b/>
        </w:rPr>
        <w:t xml:space="preserve">Document ID:</w:t>
      </w:r>
      <w:r>
        <w:t xml:space="preserve"> </w:t>
      </w:r>
      <w:r>
        <w:t xml:space="preserve">EP-MIL-EE-2023-004</w:t>
      </w:r>
    </w:p>
    <w:p>
      <w:pPr>
        <w:pStyle w:val="BodyText"/>
      </w:pPr>
      <w:r>
        <w:rPr>
          <w:bCs/>
          <w:b/>
        </w:rPr>
        <w:t xml:space="preserve">Location:</w:t>
      </w:r>
      <w:r>
        <w:t xml:space="preserve"> </w:t>
      </w:r>
      <w:r>
        <w:t xml:space="preserve">Milan, Italy (Laboratorio di Ingegneria Elettronica)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CE Marking Standards, IEC 61010-1, GDPR Data Protection</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a new low-power IoT sensor node designed for industrial automation. As an Electronics Engineer operating within the technological hub of Milan, Italy, the primary objective is to ensure that the hardware design meets the stringent performance, safety, and electromagnetic compatibility (EMC) standards mandated by the European Union.</w:t>
      </w:r>
    </w:p>
    <w:p>
      <w:pPr>
        <w:pStyle w:val="BodyText"/>
      </w:pPr>
      <w:r>
        <w:t xml:space="preserve">The specific goal of this experiment is to verify the stability of the power management unit (PMU) and the reliability of the wireless communication module under varying thermal conditions typical of the Lombardy industrial sector. This protocol serves as a binding document for the engineering team, ensuring reproducibility and adherence to professional engineering ethics.</w:t>
      </w:r>
    </w:p>
    <w:bookmarkEnd w:id="20"/>
    <w:bookmarkStart w:id="21" w:name="scope-and-applicability"/>
    <w:p>
      <w:pPr>
        <w:pStyle w:val="Heading2"/>
      </w:pPr>
      <w:r>
        <w:t xml:space="preserve">2. Scope and Applicability</w:t>
      </w:r>
    </w:p>
    <w:p>
      <w:pPr>
        <w:pStyle w:val="FirstParagraph"/>
      </w:pPr>
      <w:r>
        <w:t xml:space="preserve">This protocol applies to the prototype batch labeled "Rev-C" manufactured in the Milan facility. It is specifically designed for the Electronics Engineer responsible for hardware verification. The scope includes:</w:t>
      </w:r>
    </w:p>
    <w:p>
      <w:pPr>
        <w:numPr>
          <w:ilvl w:val="0"/>
          <w:numId w:val="1001"/>
        </w:numPr>
        <w:pStyle w:val="Compact"/>
      </w:pPr>
      <w:r>
        <w:t xml:space="preserve">Electrical characterization of the PCB.</w:t>
      </w:r>
    </w:p>
    <w:p>
      <w:pPr>
        <w:numPr>
          <w:ilvl w:val="0"/>
          <w:numId w:val="1001"/>
        </w:numPr>
        <w:pStyle w:val="Compact"/>
      </w:pPr>
      <w:r>
        <w:t xml:space="preserve">Thermal stress testing.</w:t>
      </w:r>
    </w:p>
    <w:p>
      <w:pPr>
        <w:numPr>
          <w:ilvl w:val="0"/>
          <w:numId w:val="1001"/>
        </w:numPr>
        <w:pStyle w:val="Compact"/>
      </w:pPr>
      <w:r>
        <w:t xml:space="preserve">EMC pre-compliance testing.</w:t>
      </w:r>
    </w:p>
    <w:p>
      <w:pPr>
        <w:numPr>
          <w:ilvl w:val="0"/>
          <w:numId w:val="1001"/>
        </w:numPr>
        <w:pStyle w:val="Compact"/>
      </w:pPr>
      <w:r>
        <w:t xml:space="preserve">Data logging and analysis in accordance with Italian labor safety regulations.</w:t>
      </w:r>
    </w:p>
    <w:bookmarkEnd w:id="21"/>
    <w:bookmarkStart w:id="22" w:name="equipment-and-materials"/>
    <w:p>
      <w:pPr>
        <w:pStyle w:val="Heading2"/>
      </w:pPr>
      <w:r>
        <w:t xml:space="preserve">3. Equipment and Materials</w:t>
      </w:r>
    </w:p>
    <w:p>
      <w:pPr>
        <w:pStyle w:val="FirstParagraph"/>
      </w:pPr>
      <w:r>
        <w:t xml:space="preserve">The following calibrated equipment must be used for this experiment. All instruments must have valid calibration certificates traceable to national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Model/Specification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Fluke 8846A (6.5 digit)</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Keysight InfiniiVision 6000 X-Series</w:t>
            </w:r>
          </w:p>
        </w:tc>
        <w:tc>
          <w:tcPr/>
          <w:p>
            <w:pPr>
              <w:pStyle w:val="Compact"/>
              <w:jc w:val="left"/>
            </w:pPr>
            <w:r>
              <w:t xml:space="preserve">1</w:t>
            </w:r>
          </w:p>
        </w:tc>
      </w:tr>
      <w:tr>
        <w:tc>
          <w:tcPr/>
          <w:p>
            <w:pPr>
              <w:pStyle w:val="Compact"/>
              <w:jc w:val="left"/>
            </w:pPr>
            <w:r>
              <w:t xml:space="preserve">DC Power Supply</w:t>
            </w:r>
          </w:p>
        </w:tc>
        <w:tc>
          <w:tcPr/>
          <w:p>
            <w:pPr>
              <w:pStyle w:val="Compact"/>
              <w:jc w:val="left"/>
            </w:pPr>
            <w:r>
              <w:t xml:space="preserve">Keysight N6705C Modular System</w:t>
            </w:r>
          </w:p>
        </w:tc>
        <w:tc>
          <w:tcPr/>
          <w:p>
            <w:pPr>
              <w:pStyle w:val="Compact"/>
              <w:jc w:val="left"/>
            </w:pPr>
            <w:r>
              <w:t xml:space="preserve">1</w:t>
            </w:r>
          </w:p>
        </w:tc>
      </w:tr>
      <w:tr>
        <w:tc>
          <w:tcPr/>
          <w:p>
            <w:pPr>
              <w:pStyle w:val="Compact"/>
              <w:jc w:val="left"/>
            </w:pPr>
            <w:r>
              <w:t xml:space="preserve">Thermal Chamber</w:t>
            </w:r>
          </w:p>
        </w:tc>
        <w:tc>
          <w:tcPr/>
          <w:p>
            <w:pPr>
              <w:pStyle w:val="Compact"/>
              <w:jc w:val="left"/>
            </w:pPr>
            <w:r>
              <w:t xml:space="preserve">ESPEC SH-241 (Range: -40°C to +85°C)</w:t>
            </w:r>
          </w:p>
        </w:tc>
        <w:tc>
          <w:tcPr/>
          <w:p>
            <w:pPr>
              <w:pStyle w:val="Compact"/>
              <w:jc w:val="left"/>
            </w:pPr>
            <w:r>
              <w:t xml:space="preserve">1</w:t>
            </w:r>
          </w:p>
        </w:tc>
      </w:tr>
      <w:tr>
        <w:tc>
          <w:tcPr/>
          <w:p>
            <w:pPr>
              <w:pStyle w:val="Compact"/>
              <w:jc w:val="left"/>
            </w:pPr>
            <w:r>
              <w:t xml:space="preserve">Spectrum Analyzer</w:t>
            </w:r>
          </w:p>
        </w:tc>
        <w:tc>
          <w:tcPr/>
          <w:p>
            <w:pPr>
              <w:pStyle w:val="Compact"/>
              <w:jc w:val="left"/>
            </w:pPr>
            <w:r>
              <w:t xml:space="preserve">Rohde &amp; Schwarz FPC1500</w:t>
            </w:r>
          </w:p>
        </w:tc>
        <w:tc>
          <w:tcPr/>
          <w:p>
            <w:pPr>
              <w:pStyle w:val="Compact"/>
              <w:jc w:val="left"/>
            </w:pPr>
            <w:r>
              <w:t xml:space="preserve">1</w:t>
            </w:r>
          </w:p>
        </w:tc>
      </w:tr>
    </w:tbl>
    <w:bookmarkEnd w:id="22"/>
    <w:bookmarkStart w:id="23" w:name="safety-precautions"/>
    <w:p>
      <w:pPr>
        <w:pStyle w:val="Heading2"/>
      </w:pPr>
      <w:r>
        <w:t xml:space="preserve">4. Safety Precautions</w:t>
      </w:r>
    </w:p>
    <w:p>
      <w:pPr>
        <w:pStyle w:val="FirstParagraph"/>
      </w:pPr>
      <w:r>
        <w:t xml:space="preserve">As an Electronics Engineer working in Milan, strict adherence to the</w:t>
      </w:r>
      <w:r>
        <w:t xml:space="preserve"> </w:t>
      </w:r>
      <w:r>
        <w:rPr>
          <w:iCs/>
          <w:i/>
        </w:rPr>
        <w:t xml:space="preserve">D.Lgs. 81/2008</w:t>
      </w:r>
      <w:r>
        <w:t xml:space="preserve"> </w:t>
      </w:r>
      <w:r>
        <w:t xml:space="preserve">(Testo Unico sulla Salute e Sicurezza sul Lavoro) is mandatory. The following precautions must be observed:</w:t>
      </w:r>
    </w:p>
    <w:p>
      <w:pPr>
        <w:numPr>
          <w:ilvl w:val="0"/>
          <w:numId w:val="1002"/>
        </w:numPr>
        <w:pStyle w:val="Compact"/>
      </w:pPr>
      <w:r>
        <w:rPr>
          <w:bCs/>
          <w:b/>
        </w:rPr>
        <w:t xml:space="preserve">Electrical Safety:</w:t>
      </w:r>
      <w:r>
        <w:t xml:space="preserve"> </w:t>
      </w:r>
      <w:r>
        <w:t xml:space="preserve">Ensure all equipment is properly grounded. Use isolation transformers where necessary. Do not operate equipment with damaged cables.</w:t>
      </w:r>
    </w:p>
    <w:p>
      <w:pPr>
        <w:numPr>
          <w:ilvl w:val="0"/>
          <w:numId w:val="1002"/>
        </w:numPr>
        <w:pStyle w:val="Compact"/>
      </w:pPr>
      <w:r>
        <w:rPr>
          <w:bCs/>
          <w:b/>
        </w:rPr>
        <w:t xml:space="preserve">RF Exposure:</w:t>
      </w:r>
      <w:r>
        <w:t xml:space="preserve"> </w:t>
      </w:r>
      <w:r>
        <w:t xml:space="preserve">During wireless testing, maintain a safe distance from the antenna to comply with ICNIRP guidelines regarding radiofrequency exposure.</w:t>
      </w:r>
    </w:p>
    <w:p>
      <w:pPr>
        <w:numPr>
          <w:ilvl w:val="0"/>
          <w:numId w:val="1002"/>
        </w:numPr>
        <w:pStyle w:val="Compact"/>
      </w:pPr>
      <w:r>
        <w:rPr>
          <w:bCs/>
          <w:b/>
        </w:rPr>
        <w:t xml:space="preserve">Thermal Safety:</w:t>
      </w:r>
      <w:r>
        <w:t xml:space="preserve"> </w:t>
      </w:r>
      <w:r>
        <w:t xml:space="preserve">When using the thermal chamber, wear appropriate heat-resistant gloves. Ensure the chamber is vented properly to avoid overheating the laboratory environment.</w:t>
      </w:r>
    </w:p>
    <w:p>
      <w:pPr>
        <w:numPr>
          <w:ilvl w:val="0"/>
          <w:numId w:val="1002"/>
        </w:numPr>
        <w:pStyle w:val="Compact"/>
      </w:pPr>
      <w:r>
        <w:rPr>
          <w:bCs/>
          <w:b/>
        </w:rPr>
        <w:t xml:space="preserve">Data Privacy:</w:t>
      </w:r>
      <w:r>
        <w:t xml:space="preserve"> </w:t>
      </w:r>
      <w:r>
        <w:t xml:space="preserve">Any data collected during this experiment that could identify individuals must be handled in compliance with GDPR regulations.</w:t>
      </w:r>
    </w:p>
    <w:bookmarkEnd w:id="23"/>
    <w:bookmarkStart w:id="28" w:name="experimental-procedure"/>
    <w:p>
      <w:pPr>
        <w:pStyle w:val="Heading2"/>
      </w:pPr>
      <w:r>
        <w:t xml:space="preserve">5. Experimental Procedure</w:t>
      </w:r>
    </w:p>
    <w:bookmarkStart w:id="24" w:name="initial-setup"/>
    <w:p>
      <w:pPr>
        <w:pStyle w:val="Heading3"/>
      </w:pPr>
      <w:r>
        <w:t xml:space="preserve">5.1. Initial Setup</w:t>
      </w:r>
    </w:p>
    <w:p>
      <w:pPr>
        <w:numPr>
          <w:ilvl w:val="0"/>
          <w:numId w:val="1003"/>
        </w:numPr>
        <w:pStyle w:val="Compact"/>
      </w:pPr>
      <w:r>
        <w:t xml:space="preserve">Inspect the prototype PCB for any visible defects, such as cold solder joints or component misalignment.</w:t>
      </w:r>
    </w:p>
    <w:p>
      <w:pPr>
        <w:numPr>
          <w:ilvl w:val="0"/>
          <w:numId w:val="1003"/>
        </w:numPr>
        <w:pStyle w:val="Compact"/>
      </w:pPr>
      <w:r>
        <w:t xml:space="preserve">Connect the DC power supply to the PCB's input terminals. Set the voltage limit to 5.5V and current limit to 2A.</w:t>
      </w:r>
    </w:p>
    <w:p>
      <w:pPr>
        <w:numPr>
          <w:ilvl w:val="0"/>
          <w:numId w:val="1003"/>
        </w:numPr>
        <w:pStyle w:val="Compact"/>
      </w:pPr>
      <w:r>
        <w:t xml:space="preserve">Connect the oscilloscope probes to the critical test points: VCC, GND, and the microcontroller's reset line.</w:t>
      </w:r>
    </w:p>
    <w:p>
      <w:pPr>
        <w:numPr>
          <w:ilvl w:val="0"/>
          <w:numId w:val="1003"/>
        </w:numPr>
        <w:pStyle w:val="Compact"/>
      </w:pPr>
      <w:r>
        <w:t xml:space="preserve">Power on the device and verify that the status LED indicates normal operation.</w:t>
      </w:r>
    </w:p>
    <w:bookmarkEnd w:id="24"/>
    <w:bookmarkStart w:id="25" w:name="power-consumption-analysis"/>
    <w:p>
      <w:pPr>
        <w:pStyle w:val="Heading3"/>
      </w:pPr>
      <w:r>
        <w:t xml:space="preserve">5.2. Power Consumption Analysis</w:t>
      </w:r>
    </w:p>
    <w:p>
      <w:pPr>
        <w:numPr>
          <w:ilvl w:val="0"/>
          <w:numId w:val="1004"/>
        </w:numPr>
        <w:pStyle w:val="Compact"/>
      </w:pPr>
      <w:r>
        <w:t xml:space="preserve">Measure the quiescent current consumption of the device in sleep mode. Record the value.</w:t>
      </w:r>
    </w:p>
    <w:p>
      <w:pPr>
        <w:numPr>
          <w:ilvl w:val="0"/>
          <w:numId w:val="1004"/>
        </w:numPr>
        <w:pStyle w:val="Compact"/>
      </w:pPr>
      <w:r>
        <w:t xml:space="preserve">Trigger the device to enter active transmission mode. Measure the peak current consumption.</w:t>
      </w:r>
    </w:p>
    <w:p>
      <w:pPr>
        <w:numPr>
          <w:ilvl w:val="0"/>
          <w:numId w:val="1004"/>
        </w:numPr>
        <w:pStyle w:val="Compact"/>
      </w:pPr>
      <w:r>
        <w:t xml:space="preserve">Repeat the measurement 10 times to calculate the average and standard deviation.</w:t>
      </w:r>
    </w:p>
    <w:p>
      <w:pPr>
        <w:numPr>
          <w:ilvl w:val="0"/>
          <w:numId w:val="1004"/>
        </w:numPr>
        <w:pStyle w:val="Compact"/>
      </w:pPr>
      <w:r>
        <w:t xml:space="preserve">Compare the results with the design specifications. If the deviation exceeds 5%, investigate the cause.</w:t>
      </w:r>
    </w:p>
    <w:bookmarkEnd w:id="25"/>
    <w:bookmarkStart w:id="26" w:name="thermal-stress-testing"/>
    <w:p>
      <w:pPr>
        <w:pStyle w:val="Heading3"/>
      </w:pPr>
      <w:r>
        <w:t xml:space="preserve">5.3. Thermal Stress Testing</w:t>
      </w:r>
    </w:p>
    <w:p>
      <w:pPr>
        <w:numPr>
          <w:ilvl w:val="0"/>
          <w:numId w:val="1005"/>
        </w:numPr>
        <w:pStyle w:val="Compact"/>
      </w:pPr>
      <w:r>
        <w:t xml:space="preserve">Place the PCB inside the thermal chamber. Ensure the chamber is set to cycle between -20°C and +60°C, simulating the environmental conditions of an industrial plant in Northern Italy.</w:t>
      </w:r>
    </w:p>
    <w:p>
      <w:pPr>
        <w:numPr>
          <w:ilvl w:val="0"/>
          <w:numId w:val="1005"/>
        </w:numPr>
        <w:pStyle w:val="Compact"/>
      </w:pPr>
      <w:r>
        <w:t xml:space="preserve">Run the cycle for 24 hours. Monitor the device's functionality remotely via the wireless link.</w:t>
      </w:r>
    </w:p>
    <w:p>
      <w:pPr>
        <w:numPr>
          <w:ilvl w:val="0"/>
          <w:numId w:val="1005"/>
        </w:numPr>
        <w:pStyle w:val="Compact"/>
      </w:pPr>
      <w:r>
        <w:t xml:space="preserve">Record any instances of communication dropouts or system resets.</w:t>
      </w:r>
    </w:p>
    <w:p>
      <w:pPr>
        <w:numPr>
          <w:ilvl w:val="0"/>
          <w:numId w:val="1005"/>
        </w:numPr>
        <w:pStyle w:val="Compact"/>
      </w:pPr>
      <w:r>
        <w:t xml:space="preserve">After the cycle, inspect the PCB for any signs of thermal stress, such as cracked solder joints or delamination.</w:t>
      </w:r>
    </w:p>
    <w:bookmarkEnd w:id="26"/>
    <w:bookmarkStart w:id="27" w:name="emc-pre-compliance"/>
    <w:p>
      <w:pPr>
        <w:pStyle w:val="Heading3"/>
      </w:pPr>
      <w:r>
        <w:t xml:space="preserve">5.4. EMC Pre-Compliance</w:t>
      </w:r>
    </w:p>
    <w:p>
      <w:pPr>
        <w:numPr>
          <w:ilvl w:val="0"/>
          <w:numId w:val="1006"/>
        </w:numPr>
        <w:pStyle w:val="Compact"/>
      </w:pPr>
      <w:r>
        <w:t xml:space="preserve">Connect the spectrum analyzer to the antenna port using a calibrated attenuator.</w:t>
      </w:r>
    </w:p>
    <w:p>
      <w:pPr>
        <w:numPr>
          <w:ilvl w:val="0"/>
          <w:numId w:val="1006"/>
        </w:numPr>
        <w:pStyle w:val="Compact"/>
      </w:pPr>
      <w:r>
        <w:t xml:space="preserve">Measure the conducted emissions in the frequency range of 150 kHz to 30 MHz.</w:t>
      </w:r>
    </w:p>
    <w:p>
      <w:pPr>
        <w:numPr>
          <w:ilvl w:val="0"/>
          <w:numId w:val="1006"/>
        </w:numPr>
        <w:pStyle w:val="Compact"/>
      </w:pPr>
      <w:r>
        <w:t xml:space="preserve">Measure the radiated emissions in the frequency range of 30 MHz to 1 GHz.</w:t>
      </w:r>
    </w:p>
    <w:p>
      <w:pPr>
        <w:numPr>
          <w:ilvl w:val="0"/>
          <w:numId w:val="1006"/>
        </w:numPr>
        <w:pStyle w:val="Compact"/>
      </w:pPr>
      <w:r>
        <w:t xml:space="preserve">Ensure that all emissions are below the limits specified by EN 55032 Class B.</w:t>
      </w:r>
    </w:p>
    <w:bookmarkEnd w:id="27"/>
    <w:bookmarkEnd w:id="28"/>
    <w:bookmarkStart w:id="29" w:name="data-analysis-and-reporting"/>
    <w:p>
      <w:pPr>
        <w:pStyle w:val="Heading2"/>
      </w:pPr>
      <w:r>
        <w:t xml:space="preserve">6. Data Analysis and Reporting</w:t>
      </w:r>
    </w:p>
    <w:p>
      <w:pPr>
        <w:pStyle w:val="FirstParagraph"/>
      </w:pPr>
      <w:r>
        <w:t xml:space="preserve">The Electronics Engineer must compile all data into a comprehensive report. The report should include:</w:t>
      </w:r>
    </w:p>
    <w:p>
      <w:pPr>
        <w:numPr>
          <w:ilvl w:val="0"/>
          <w:numId w:val="1007"/>
        </w:numPr>
        <w:pStyle w:val="Compact"/>
      </w:pPr>
      <w:r>
        <w:t xml:space="preserve">Raw data logs from all instruments.</w:t>
      </w:r>
    </w:p>
    <w:p>
      <w:pPr>
        <w:numPr>
          <w:ilvl w:val="0"/>
          <w:numId w:val="1007"/>
        </w:numPr>
        <w:pStyle w:val="Compact"/>
      </w:pPr>
      <w:r>
        <w:t xml:space="preserve">Graphs showing power consumption over time and thermal performance.</w:t>
      </w:r>
    </w:p>
    <w:p>
      <w:pPr>
        <w:numPr>
          <w:ilvl w:val="0"/>
          <w:numId w:val="1007"/>
        </w:numPr>
        <w:pStyle w:val="Compact"/>
      </w:pPr>
      <w:r>
        <w:t xml:space="preserve">A comparison of the experimental results with the theoretical design parameters.</w:t>
      </w:r>
    </w:p>
    <w:p>
      <w:pPr>
        <w:numPr>
          <w:ilvl w:val="0"/>
          <w:numId w:val="1007"/>
        </w:numPr>
        <w:pStyle w:val="Compact"/>
      </w:pPr>
      <w:r>
        <w:t xml:space="preserve">Identification of any anomalies or failures.</w:t>
      </w:r>
    </w:p>
    <w:p>
      <w:pPr>
        <w:numPr>
          <w:ilvl w:val="0"/>
          <w:numId w:val="1007"/>
        </w:numPr>
        <w:pStyle w:val="Compact"/>
      </w:pPr>
      <w:r>
        <w:t xml:space="preserve">Recommendations for design improvements, if necessary.</w:t>
      </w:r>
    </w:p>
    <w:p>
      <w:pPr>
        <w:pStyle w:val="FirstParagraph"/>
      </w:pPr>
      <w:r>
        <w:t xml:space="preserve">The report must be written in English to facilitate collaboration with international partners, but a summary in Italian should be provided for local stakeholders in Milan.</w:t>
      </w:r>
    </w:p>
    <w:bookmarkEnd w:id="29"/>
    <w:bookmarkStart w:id="30" w:name="conclusion"/>
    <w:p>
      <w:pPr>
        <w:pStyle w:val="Heading2"/>
      </w:pPr>
      <w:r>
        <w:t xml:space="preserve">7. Conclusion</w:t>
      </w:r>
    </w:p>
    <w:p>
      <w:pPr>
        <w:pStyle w:val="FirstParagraph"/>
      </w:pPr>
      <w:r>
        <w:t xml:space="preserve">This Experiment Protocol provides a structured approach to validating the electronics design. By following these steps, the Electronics Engineer ensures that the product is robust, reliable, and compliant with European standards. This process is critical for maintaining the high reputation of Italian engineering excellence in the global market.</w:t>
      </w:r>
    </w:p>
    <w:p>
      <w:pPr>
        <w:pStyle w:val="BodyText"/>
      </w:pPr>
      <w:r>
        <w:rPr>
          <w:bCs/>
          <w:b/>
        </w:rPr>
        <w:t xml:space="preserve">Prepared by:</w:t>
      </w:r>
    </w:p>
    <w:p>
      <w:pPr>
        <w:pStyle w:val="BodyText"/>
      </w:pPr>
      <w:r>
        <w:t xml:space="preserve">Name: ________________________</w:t>
      </w:r>
    </w:p>
    <w:p>
      <w:pPr>
        <w:pStyle w:val="BodyText"/>
      </w:pPr>
      <w:r>
        <w:t xml:space="preserve">Role: Electronics Engineer</w:t>
      </w:r>
    </w:p>
    <w:p>
      <w:pPr>
        <w:pStyle w:val="BodyText"/>
      </w:pPr>
      <w:r>
        <w:t xml:space="preserve">Date: ________________________</w:t>
      </w:r>
    </w:p>
    <w:p>
      <w:pPr>
        <w:pStyle w:val="BodyText"/>
      </w:pPr>
      <w:r>
        <w:rPr>
          <w:bCs/>
          <w:b/>
        </w:rPr>
        <w:t xml:space="preserve">Approved by:</w:t>
      </w:r>
    </w:p>
    <w:p>
      <w:pPr>
        <w:pStyle w:val="BodyText"/>
      </w:pPr>
      <w:r>
        <w:t xml:space="preserve">Name: ________________________</w:t>
      </w:r>
    </w:p>
    <w:p>
      <w:pPr>
        <w:pStyle w:val="BodyText"/>
      </w:pPr>
      <w:r>
        <w:t xml:space="preserve">Role: Senior Engineering Manager</w:t>
      </w:r>
    </w:p>
    <w:p>
      <w:pPr>
        <w:pStyle w:val="BodyText"/>
      </w:pPr>
      <w:r>
        <w:t xml:space="preserve">Date: 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Milan, Italy</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