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Kyoto,</w:t>
      </w:r>
      <w:r>
        <w:t xml:space="preserve"> </w:t>
      </w:r>
      <w:r>
        <w:t xml:space="preserve">Japan</w:t>
      </w:r>
    </w:p>
    <w:bookmarkStart w:id="30" w:name="Xaef9a953c55f58ff5616f290b7f3e8ab18c8f0e"/>
    <w:p>
      <w:pPr>
        <w:pStyle w:val="Heading1"/>
      </w:pPr>
      <w:r>
        <w:t xml:space="preserve">Experiment Protocol: Advanced Sensor Integration for Urban IoT</w:t>
      </w:r>
    </w:p>
    <w:p>
      <w:pPr>
        <w:pStyle w:val="FirstParagraph"/>
      </w:pPr>
      <w:r>
        <w:rPr>
          <w:bCs/>
          <w:b/>
        </w:rPr>
        <w:t xml:space="preserve">Document ID:</w:t>
      </w:r>
      <w:r>
        <w:t xml:space="preserve"> </w:t>
      </w:r>
      <w:r>
        <w:t xml:space="preserve">EP-KYOTO-EE-2023-004</w:t>
      </w:r>
    </w:p>
    <w:p>
      <w:pPr>
        <w:pStyle w:val="BodyText"/>
      </w:pPr>
      <w:r>
        <w:rPr>
          <w:bCs/>
          <w:b/>
        </w:rPr>
        <w:t xml:space="preserve">Location:</w:t>
      </w:r>
      <w:r>
        <w:t xml:space="preserve"> </w:t>
      </w:r>
      <w:r>
        <w:t xml:space="preserve">Kyoto, Japan (Kyoto University Research Park / Kyoto Prefectural University of Advanced Science)</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Electronics Engineer to conduct field testing and laboratory validation of low-power wide-area network (LPWAN) sensor nodes. The primary objective is to evaluate the signal integrity and power consumption of custom-designed PCBs intended for deployment in the dense urban and historical environments of Kyoto, Japan.</w:t>
      </w:r>
    </w:p>
    <w:p>
      <w:pPr>
        <w:pStyle w:val="BodyText"/>
      </w:pPr>
      <w:r>
        <w:t xml:space="preserve">Kyoto presents a unique testing landscape due to its blend of ancient architecture, narrow streets, and modern technological infrastructure. The Electronics Engineer must ensure that the hardware performs reliably within the specific electromagnetic environment of this region, adhering to the strict radio frequency regulations set by the Ministry of Internal Affairs and Communications (MIC) of Japan.</w:t>
      </w:r>
    </w:p>
    <w:bookmarkEnd w:id="20"/>
    <w:bookmarkStart w:id="21" w:name="scope-of-work"/>
    <w:p>
      <w:pPr>
        <w:pStyle w:val="Heading2"/>
      </w:pPr>
      <w:r>
        <w:t xml:space="preserve">2. Scope of Work</w:t>
      </w:r>
    </w:p>
    <w:p>
      <w:pPr>
        <w:pStyle w:val="FirstParagraph"/>
      </w:pPr>
      <w:r>
        <w:t xml:space="preserve">The scope of this protocol encompasses the following activities performed by the Electronics Engineer:</w:t>
      </w:r>
    </w:p>
    <w:p>
      <w:pPr>
        <w:numPr>
          <w:ilvl w:val="0"/>
          <w:numId w:val="1001"/>
        </w:numPr>
        <w:pStyle w:val="Compact"/>
      </w:pPr>
      <w:r>
        <w:t xml:space="preserve">Pre-deployment hardware verification in the laboratory.</w:t>
      </w:r>
    </w:p>
    <w:p>
      <w:pPr>
        <w:numPr>
          <w:ilvl w:val="0"/>
          <w:numId w:val="1001"/>
        </w:numPr>
        <w:pStyle w:val="Compact"/>
      </w:pPr>
      <w:r>
        <w:t xml:space="preserve">On-site signal propagation testing in designated Kyoto districts (e.g., Higashiyama, Nakagyo).</w:t>
      </w:r>
    </w:p>
    <w:p>
      <w:pPr>
        <w:numPr>
          <w:ilvl w:val="0"/>
          <w:numId w:val="1001"/>
        </w:numPr>
        <w:pStyle w:val="Compact"/>
      </w:pPr>
      <w:r>
        <w:t xml:space="preserve">Data logging and analysis of packet loss rates and latency.</w:t>
      </w:r>
    </w:p>
    <w:p>
      <w:pPr>
        <w:numPr>
          <w:ilvl w:val="0"/>
          <w:numId w:val="1001"/>
        </w:numPr>
        <w:pStyle w:val="Compact"/>
      </w:pPr>
      <w:r>
        <w:t xml:space="preserve">Compliance verification with Japanese industrial standards (JIS).</w:t>
      </w:r>
    </w:p>
    <w:bookmarkEnd w:id="21"/>
    <w:bookmarkStart w:id="22" w:name="equipment-and-materials"/>
    <w:p>
      <w:pPr>
        <w:pStyle w:val="Heading2"/>
      </w:pPr>
      <w:r>
        <w:t xml:space="preserve">3. Equipment and Materials</w:t>
      </w:r>
    </w:p>
    <w:p>
      <w:pPr>
        <w:pStyle w:val="FirstParagraph"/>
      </w:pPr>
      <w:r>
        <w:t xml:space="preserve">The Electronics Engineer must prepare and inspect the following equipment prior to the commencement of the experiment. All equipment must be calibrated according to ISO/IEC 17025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Prototype Sensor Node</w:t>
            </w:r>
          </w:p>
        </w:tc>
        <w:tc>
          <w:tcPr/>
          <w:p>
            <w:pPr>
              <w:pStyle w:val="Compact"/>
              <w:jc w:val="left"/>
            </w:pPr>
            <w:r>
              <w:t xml:space="preserve">Custom PCB, LoRaWAN Class A, 920 MHz band</w:t>
            </w:r>
          </w:p>
        </w:tc>
        <w:tc>
          <w:tcPr/>
          <w:p>
            <w:pPr>
              <w:pStyle w:val="Compact"/>
              <w:jc w:val="left"/>
            </w:pPr>
            <w:r>
              <w:t xml:space="preserve">10 Units</w:t>
            </w:r>
          </w:p>
        </w:tc>
      </w:tr>
      <w:tr>
        <w:tc>
          <w:tcPr/>
          <w:p>
            <w:pPr>
              <w:pStyle w:val="Compact"/>
              <w:jc w:val="left"/>
            </w:pPr>
            <w:r>
              <w:t xml:space="preserve">Spectrum Analyzer</w:t>
            </w:r>
          </w:p>
        </w:tc>
        <w:tc>
          <w:tcPr/>
          <w:p>
            <w:pPr>
              <w:pStyle w:val="Compact"/>
              <w:jc w:val="left"/>
            </w:pPr>
            <w:r>
              <w:t xml:space="preserve">Portable, 9 kHz - 6 GHz range</w:t>
            </w:r>
          </w:p>
        </w:tc>
        <w:tc>
          <w:tcPr/>
          <w:p>
            <w:pPr>
              <w:pStyle w:val="Compact"/>
              <w:jc w:val="left"/>
            </w:pPr>
            <w:r>
              <w:t xml:space="preserve">1 Unit</w:t>
            </w:r>
          </w:p>
        </w:tc>
      </w:tr>
      <w:tr>
        <w:tc>
          <w:tcPr/>
          <w:p>
            <w:pPr>
              <w:pStyle w:val="Compact"/>
              <w:jc w:val="left"/>
            </w:pPr>
            <w:r>
              <w:t xml:space="preserve">GPS Logger</w:t>
            </w:r>
          </w:p>
        </w:tc>
        <w:tc>
          <w:tcPr/>
          <w:p>
            <w:pPr>
              <w:pStyle w:val="Compact"/>
              <w:jc w:val="left"/>
            </w:pPr>
            <w:r>
              <w:t xml:space="preserve">High-precision, NMEA output</w:t>
            </w:r>
          </w:p>
        </w:tc>
        <w:tc>
          <w:tcPr/>
          <w:p>
            <w:pPr>
              <w:pStyle w:val="Compact"/>
              <w:jc w:val="left"/>
            </w:pPr>
            <w:r>
              <w:t xml:space="preserve">1 Unit</w:t>
            </w:r>
          </w:p>
        </w:tc>
      </w:tr>
      <w:tr>
        <w:tc>
          <w:tcPr/>
          <w:p>
            <w:pPr>
              <w:pStyle w:val="Compact"/>
              <w:jc w:val="left"/>
            </w:pPr>
            <w:r>
              <w:t xml:space="preserve">Power Supply</w:t>
            </w:r>
          </w:p>
        </w:tc>
        <w:tc>
          <w:tcPr/>
          <w:p>
            <w:pPr>
              <w:pStyle w:val="Compact"/>
              <w:jc w:val="left"/>
            </w:pPr>
            <w:r>
              <w:t xml:space="preserve">Programmable DC, 5V/3A</w:t>
            </w:r>
          </w:p>
        </w:tc>
        <w:tc>
          <w:tcPr/>
          <w:p>
            <w:pPr>
              <w:pStyle w:val="Compact"/>
              <w:jc w:val="left"/>
            </w:pPr>
            <w:r>
              <w:t xml:space="preserve">2 Units</w:t>
            </w:r>
          </w:p>
        </w:tc>
      </w:tr>
      <w:tr>
        <w:tc>
          <w:tcPr/>
          <w:p>
            <w:pPr>
              <w:pStyle w:val="Compact"/>
              <w:jc w:val="left"/>
            </w:pPr>
            <w:r>
              <w:t xml:space="preserve">Antenna</w:t>
            </w:r>
          </w:p>
        </w:tc>
        <w:tc>
          <w:tcPr/>
          <w:p>
            <w:pPr>
              <w:pStyle w:val="Compact"/>
              <w:jc w:val="left"/>
            </w:pPr>
            <w:r>
              <w:t xml:space="preserve">Omni-directional, 2.4 dBi gain</w:t>
            </w:r>
          </w:p>
        </w:tc>
        <w:tc>
          <w:tcPr/>
          <w:p>
            <w:pPr>
              <w:pStyle w:val="Compact"/>
              <w:jc w:val="left"/>
            </w:pPr>
            <w:r>
              <w:t xml:space="preserve">5 Units</w:t>
            </w:r>
          </w:p>
        </w:tc>
      </w:tr>
    </w:tbl>
    <w:bookmarkEnd w:id="22"/>
    <w:bookmarkStart w:id="23" w:name="safety-and-regulatory-compliance"/>
    <w:p>
      <w:pPr>
        <w:pStyle w:val="Heading2"/>
      </w:pPr>
      <w:r>
        <w:t xml:space="preserve">4. Safety and Regulatory Compliance</w:t>
      </w:r>
    </w:p>
    <w:p>
      <w:pPr>
        <w:pStyle w:val="FirstParagraph"/>
      </w:pPr>
      <w:r>
        <w:t xml:space="preserve">Safety is paramount. The Electronics Engineer must adhere to the following safety guidelines specific to working in Japan:</w:t>
      </w:r>
    </w:p>
    <w:p>
      <w:pPr>
        <w:numPr>
          <w:ilvl w:val="0"/>
          <w:numId w:val="1002"/>
        </w:numPr>
        <w:pStyle w:val="Compact"/>
      </w:pPr>
      <w:r>
        <w:rPr>
          <w:bCs/>
          <w:b/>
        </w:rPr>
        <w:t xml:space="preserve">Electrical Safety:</w:t>
      </w:r>
      <w:r>
        <w:t xml:space="preserve"> </w:t>
      </w:r>
      <w:r>
        <w:t xml:space="preserve">Ensure all test equipment is grounded properly. Use only equipment with the PSE mark (Product Safety Electrical Appliance &amp; Material) where applicable.</w:t>
      </w:r>
    </w:p>
    <w:p>
      <w:pPr>
        <w:numPr>
          <w:ilvl w:val="0"/>
          <w:numId w:val="1002"/>
        </w:numPr>
        <w:pStyle w:val="Compact"/>
      </w:pPr>
      <w:r>
        <w:rPr>
          <w:bCs/>
          <w:b/>
        </w:rPr>
        <w:t xml:space="preserve">Radio Regulations:</w:t>
      </w:r>
      <w:r>
        <w:t xml:space="preserve"> </w:t>
      </w:r>
      <w:r>
        <w:t xml:space="preserve">Strictly adhere to the Radio Law of Japan. Ensure transmission power does not exceed the limits for the 920 MHz ISM band. Unauthorized transmission is a criminal offense.</w:t>
      </w:r>
    </w:p>
    <w:p>
      <w:pPr>
        <w:numPr>
          <w:ilvl w:val="0"/>
          <w:numId w:val="1002"/>
        </w:numPr>
        <w:pStyle w:val="Compact"/>
      </w:pPr>
      <w:r>
        <w:rPr>
          <w:bCs/>
          <w:b/>
        </w:rPr>
        <w:t xml:space="preserve">Site Safety:</w:t>
      </w:r>
      <w:r>
        <w:t xml:space="preserve"> </w:t>
      </w:r>
      <w:r>
        <w:t xml:space="preserve">When conducting field tests in Kyoto, respect pedestrian traffic and historical sites. Do not obstruct pathways in narrow alleys (roji) or temple grounds without prior permission.</w:t>
      </w:r>
    </w:p>
    <w:p>
      <w:pPr>
        <w:numPr>
          <w:ilvl w:val="0"/>
          <w:numId w:val="1002"/>
        </w:numPr>
        <w:pStyle w:val="Compact"/>
      </w:pPr>
      <w:r>
        <w:rPr>
          <w:bCs/>
          <w:b/>
        </w:rPr>
        <w:t xml:space="preserve">Personal Protective Equipment (PPE):</w:t>
      </w:r>
      <w:r>
        <w:t xml:space="preserve"> </w:t>
      </w:r>
      <w:r>
        <w:t xml:space="preserve">Wear appropriate footwear and high-visibility vests when working near roads or construction zones.</w:t>
      </w:r>
    </w:p>
    <w:bookmarkEnd w:id="23"/>
    <w:bookmarkStart w:id="27" w:name="experimental-procedure"/>
    <w:p>
      <w:pPr>
        <w:pStyle w:val="Heading2"/>
      </w:pPr>
      <w:r>
        <w:t xml:space="preserve">5. Experimental Procedure</w:t>
      </w:r>
    </w:p>
    <w:bookmarkStart w:id="24" w:name="phase-1-laboratory-verification"/>
    <w:p>
      <w:pPr>
        <w:pStyle w:val="Heading3"/>
      </w:pPr>
      <w:r>
        <w:t xml:space="preserve">5.1 Phase 1: Laboratory Verification</w:t>
      </w:r>
    </w:p>
    <w:p>
      <w:pPr>
        <w:pStyle w:val="FirstParagraph"/>
      </w:pPr>
      <w:r>
        <w:t xml:space="preserve">Before field deployment, the Electronics Engineer must perform benchtop testing.</w:t>
      </w:r>
    </w:p>
    <w:p>
      <w:pPr>
        <w:numPr>
          <w:ilvl w:val="0"/>
          <w:numId w:val="1003"/>
        </w:numPr>
        <w:pStyle w:val="Compact"/>
      </w:pPr>
      <w:r>
        <w:t xml:space="preserve">Connect the prototype sensor node to the programmable power supply.</w:t>
      </w:r>
    </w:p>
    <w:p>
      <w:pPr>
        <w:numPr>
          <w:ilvl w:val="0"/>
          <w:numId w:val="1003"/>
        </w:numPr>
        <w:pStyle w:val="Compact"/>
      </w:pPr>
      <w:r>
        <w:t xml:space="preserve">Measure quiescent current and active transmission current.</w:t>
      </w:r>
    </w:p>
    <w:p>
      <w:pPr>
        <w:numPr>
          <w:ilvl w:val="0"/>
          <w:numId w:val="1003"/>
        </w:numPr>
        <w:pStyle w:val="Compact"/>
      </w:pPr>
      <w:r>
        <w:t xml:space="preserve">Verify firmware functionality and data packet structure.</w:t>
      </w:r>
    </w:p>
    <w:p>
      <w:pPr>
        <w:numPr>
          <w:ilvl w:val="0"/>
          <w:numId w:val="1003"/>
        </w:numPr>
        <w:pStyle w:val="Compact"/>
      </w:pPr>
      <w:r>
        <w:t xml:space="preserve">Perform a spectrum analysis to confirm the carrier frequency is centered at 920 MHz and bandwidth is within tolerance.</w:t>
      </w:r>
    </w:p>
    <w:bookmarkEnd w:id="24"/>
    <w:bookmarkStart w:id="25" w:name="phase-2-field-deployment-in-kyoto"/>
    <w:p>
      <w:pPr>
        <w:pStyle w:val="Heading3"/>
      </w:pPr>
      <w:r>
        <w:t xml:space="preserve">5.2 Phase 2: Field Deployment in Kyoto</w:t>
      </w:r>
    </w:p>
    <w:p>
      <w:pPr>
        <w:pStyle w:val="FirstParagraph"/>
      </w:pPr>
      <w:r>
        <w:t xml:space="preserve">The field test will be conducted in the Higashiyama district, known for its dense wooden structures which may affect signal propagation.</w:t>
      </w:r>
    </w:p>
    <w:p>
      <w:pPr>
        <w:numPr>
          <w:ilvl w:val="0"/>
          <w:numId w:val="1004"/>
        </w:numPr>
        <w:pStyle w:val="Compact"/>
      </w:pPr>
      <w:r>
        <w:rPr>
          <w:bCs/>
          <w:b/>
        </w:rPr>
        <w:t xml:space="preserve">Site Selection:</w:t>
      </w:r>
      <w:r>
        <w:t xml:space="preserve"> </w:t>
      </w:r>
      <w:r>
        <w:t xml:space="preserve">Identify five test points along the Sannen-zaka and Ninen-zaka slopes. Ensure each point has a clear line of sight to the gateway where possible.</w:t>
      </w:r>
    </w:p>
    <w:p>
      <w:pPr>
        <w:numPr>
          <w:ilvl w:val="0"/>
          <w:numId w:val="1004"/>
        </w:numPr>
        <w:pStyle w:val="Compact"/>
      </w:pPr>
      <w:r>
        <w:rPr>
          <w:bCs/>
          <w:b/>
        </w:rPr>
        <w:t xml:space="preserve">Installation:</w:t>
      </w:r>
      <w:r>
        <w:t xml:space="preserve"> </w:t>
      </w:r>
      <w:r>
        <w:t xml:space="preserve">Mount the sensor nodes at a height of 2 meters using non-invasive clamps to protect historical structures.</w:t>
      </w:r>
    </w:p>
    <w:p>
      <w:pPr>
        <w:numPr>
          <w:ilvl w:val="0"/>
          <w:numId w:val="1004"/>
        </w:numPr>
        <w:pStyle w:val="Compact"/>
      </w:pPr>
      <w:r>
        <w:rPr>
          <w:bCs/>
          <w:b/>
        </w:rPr>
        <w:t xml:space="preserve">Initialization:</w:t>
      </w:r>
      <w:r>
        <w:t xml:space="preserve"> </w:t>
      </w:r>
      <w:r>
        <w:t xml:space="preserve">Power on the nodes and verify connection to the LoRaWAN network via the gateway dashboard.</w:t>
      </w:r>
    </w:p>
    <w:p>
      <w:pPr>
        <w:numPr>
          <w:ilvl w:val="0"/>
          <w:numId w:val="1004"/>
        </w:numPr>
        <w:pStyle w:val="Compact"/>
      </w:pPr>
      <w:r>
        <w:rPr>
          <w:bCs/>
          <w:b/>
        </w:rPr>
        <w:t xml:space="preserve">Data Collection:</w:t>
      </w:r>
      <w:r>
        <w:t xml:space="preserve"> </w:t>
      </w:r>
      <w:r>
        <w:t xml:space="preserve">Allow the nodes to transmit data packets every 15 minutes for a duration of 48 hours.</w:t>
      </w:r>
    </w:p>
    <w:bookmarkEnd w:id="25"/>
    <w:bookmarkStart w:id="26" w:name="phase-3-data-analysis"/>
    <w:p>
      <w:pPr>
        <w:pStyle w:val="Heading3"/>
      </w:pPr>
      <w:r>
        <w:t xml:space="preserve">5.3 Phase 3: Data Analysis</w:t>
      </w:r>
    </w:p>
    <w:p>
      <w:pPr>
        <w:pStyle w:val="FirstParagraph"/>
      </w:pPr>
      <w:r>
        <w:t xml:space="preserve">The Electronics Engineer will analyze the collected data to determine:</w:t>
      </w:r>
    </w:p>
    <w:p>
      <w:pPr>
        <w:numPr>
          <w:ilvl w:val="0"/>
          <w:numId w:val="1005"/>
        </w:numPr>
        <w:pStyle w:val="Compact"/>
      </w:pPr>
      <w:r>
        <w:t xml:space="preserve">Packet Delivery Rate (PDR).</w:t>
      </w:r>
    </w:p>
    <w:p>
      <w:pPr>
        <w:numPr>
          <w:ilvl w:val="0"/>
          <w:numId w:val="1005"/>
        </w:numPr>
        <w:pStyle w:val="Compact"/>
      </w:pPr>
      <w:r>
        <w:t xml:space="preserve">Received Signal Strength Indicator (RSSI) variations.</w:t>
      </w:r>
    </w:p>
    <w:p>
      <w:pPr>
        <w:numPr>
          <w:ilvl w:val="0"/>
          <w:numId w:val="1005"/>
        </w:numPr>
        <w:pStyle w:val="Compact"/>
      </w:pPr>
      <w:r>
        <w:t xml:space="preserve">Signal-to-Noise Ratio (SNR).</w:t>
      </w:r>
    </w:p>
    <w:p>
      <w:pPr>
        <w:numPr>
          <w:ilvl w:val="0"/>
          <w:numId w:val="1005"/>
        </w:numPr>
        <w:pStyle w:val="Compact"/>
      </w:pPr>
      <w:r>
        <w:t xml:space="preserve">Battery drain rate under real-world conditions.</w:t>
      </w:r>
    </w:p>
    <w:bookmarkEnd w:id="26"/>
    <w:bookmarkEnd w:id="27"/>
    <w:bookmarkStart w:id="28" w:name="risk-management"/>
    <w:p>
      <w:pPr>
        <w:pStyle w:val="Heading2"/>
      </w:pPr>
      <w:r>
        <w:t xml:space="preserve">6. Risk Management</w:t>
      </w:r>
    </w:p>
    <w:p>
      <w:pPr>
        <w:pStyle w:val="FirstParagraph"/>
      </w:pPr>
      <w:r>
        <w:t xml:space="preserve">Potential risks and mitigation strategies include:</w:t>
      </w:r>
    </w:p>
    <w:p>
      <w:pPr>
        <w:numPr>
          <w:ilvl w:val="0"/>
          <w:numId w:val="1006"/>
        </w:numPr>
        <w:pStyle w:val="Compact"/>
      </w:pPr>
      <w:r>
        <w:rPr>
          <w:bCs/>
          <w:b/>
        </w:rPr>
        <w:t xml:space="preserve">Signal Interference:</w:t>
      </w:r>
      <w:r>
        <w:t xml:space="preserve"> </w:t>
      </w:r>
      <w:r>
        <w:t xml:space="preserve">Kyoto has a high density of Wi-Fi and cellular networks. Mitigation: Use adaptive data rate (ADR) features in the LoRaWAN protocol.</w:t>
      </w:r>
    </w:p>
    <w:p>
      <w:pPr>
        <w:numPr>
          <w:ilvl w:val="0"/>
          <w:numId w:val="1006"/>
        </w:numPr>
        <w:pStyle w:val="Compact"/>
      </w:pPr>
      <w:r>
        <w:rPr>
          <w:bCs/>
          <w:b/>
        </w:rPr>
        <w:t xml:space="preserve">Weather Conditions:</w:t>
      </w:r>
      <w:r>
        <w:t xml:space="preserve"> </w:t>
      </w:r>
      <w:r>
        <w:t xml:space="preserve">Kyoto experiences heavy rain and humidity. Mitigation: Use IP67-rated enclosures for all outdoor nodes.</w:t>
      </w:r>
    </w:p>
    <w:p>
      <w:pPr>
        <w:numPr>
          <w:ilvl w:val="0"/>
          <w:numId w:val="1006"/>
        </w:numPr>
        <w:pStyle w:val="Compact"/>
      </w:pPr>
      <w:r>
        <w:rPr>
          <w:bCs/>
          <w:b/>
        </w:rPr>
        <w:t xml:space="preserve">Theft or Vandalism:</w:t>
      </w:r>
      <w:r>
        <w:t xml:space="preserve"> </w:t>
      </w:r>
      <w:r>
        <w:t xml:space="preserve">Mitigation: Use tamper-evident seals and secure mounting hardware.</w:t>
      </w:r>
    </w:p>
    <w:bookmarkEnd w:id="28"/>
    <w:bookmarkStart w:id="29" w:name="reporting-and-documentation"/>
    <w:p>
      <w:pPr>
        <w:pStyle w:val="Heading2"/>
      </w:pPr>
      <w:r>
        <w:t xml:space="preserve">7. Reporting and Documentation</w:t>
      </w:r>
    </w:p>
    <w:p>
      <w:pPr>
        <w:pStyle w:val="FirstParagraph"/>
      </w:pPr>
      <w:r>
        <w:t xml:space="preserve">Upon completion of the experiment, the Electronics Engineer must submit a comprehensive report detailing:</w:t>
      </w:r>
    </w:p>
    <w:p>
      <w:pPr>
        <w:numPr>
          <w:ilvl w:val="0"/>
          <w:numId w:val="1007"/>
        </w:numPr>
        <w:pStyle w:val="Compact"/>
      </w:pPr>
      <w:r>
        <w:t xml:space="preserve">Summary of experimental setup and methodology.</w:t>
      </w:r>
    </w:p>
    <w:p>
      <w:pPr>
        <w:numPr>
          <w:ilvl w:val="0"/>
          <w:numId w:val="1007"/>
        </w:numPr>
        <w:pStyle w:val="Compact"/>
      </w:pPr>
      <w:r>
        <w:t xml:space="preserve">Raw data logs and analysis results.</w:t>
      </w:r>
    </w:p>
    <w:p>
      <w:pPr>
        <w:numPr>
          <w:ilvl w:val="0"/>
          <w:numId w:val="1007"/>
        </w:numPr>
        <w:pStyle w:val="Compact"/>
      </w:pPr>
      <w:r>
        <w:t xml:space="preserve">Comparison of results against initial design specifications.</w:t>
      </w:r>
    </w:p>
    <w:p>
      <w:pPr>
        <w:numPr>
          <w:ilvl w:val="0"/>
          <w:numId w:val="1007"/>
        </w:numPr>
        <w:pStyle w:val="Compact"/>
      </w:pPr>
      <w:r>
        <w:t xml:space="preserve">Recommendations for hardware improvements.</w:t>
      </w:r>
    </w:p>
    <w:p>
      <w:pPr>
        <w:numPr>
          <w:ilvl w:val="0"/>
          <w:numId w:val="1007"/>
        </w:numPr>
        <w:pStyle w:val="Compact"/>
      </w:pPr>
      <w:r>
        <w:t xml:space="preserve">Photographic evidence of the installation sites in Kyoto.</w:t>
      </w:r>
    </w:p>
    <w:p>
      <w:pPr>
        <w:pStyle w:val="FirstParagraph"/>
      </w:pPr>
      <w:r>
        <w:t xml:space="preserve">This report will be reviewed by the project management team and relevant stakeholders to determine the next steps for product development.</w:t>
      </w:r>
    </w:p>
    <w:p>
      <w:pPr>
        <w:pStyle w:val="BodyText"/>
      </w:pPr>
      <w:r>
        <w:rPr>
          <w:bCs/>
          <w:b/>
        </w:rPr>
        <w:t xml:space="preserve">Note:</w:t>
      </w:r>
      <w:r>
        <w:t xml:space="preserve"> </w:t>
      </w:r>
      <w:r>
        <w:t xml:space="preserve">This protocol is subject to change based on regulatory updates from the Japanese government or unforeseen site conditions. The Electronics Engineer must exercise professional judgment and prioritize safety and compliance at all times.</w:t>
      </w:r>
    </w:p>
    <w:p>
      <w:pPr>
        <w:pStyle w:val="BodyText"/>
      </w:pPr>
      <w:r>
        <w:rPr>
          <w:bCs/>
          <w:b/>
        </w:rPr>
        <w:t xml:space="preserve">Approved By:</w:t>
      </w:r>
      <w:r>
        <w:br/>
      </w:r>
      <w:r>
        <w:t xml:space="preserve">__________________________</w:t>
      </w:r>
      <w:r>
        <w:br/>
      </w:r>
      <w:r>
        <w:t xml:space="preserve">Project Manager</w:t>
      </w:r>
      <w:r>
        <w:br/>
      </w:r>
      <w:r>
        <w:t xml:space="preserve">Kyoto Research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Kyoto, Japan</dc:title>
  <dc:creator/>
  <dc:language>en</dc:language>
  <cp:keywords/>
  <dcterms:created xsi:type="dcterms:W3CDTF">2026-10-10T07:22:27Z</dcterms:created>
  <dcterms:modified xsi:type="dcterms:W3CDTF">2026-10-10T07:22:27Z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