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Validation of High-Frequency Signal Integrity in Industrial IoT Nodes under Almaty Environmental Conditions</w:t>
      </w:r>
    </w:p>
    <w:p>
      <w:pPr>
        <w:pStyle w:val="BodyText"/>
      </w:pPr>
      <w:r>
        <w:rPr>
          <w:bCs/>
          <w:b/>
        </w:rPr>
        <w:t xml:space="preserve">Location:</w:t>
      </w:r>
      <w:r>
        <w:t xml:space="preserve"> </w:t>
      </w:r>
      <w:r>
        <w:t xml:space="preserve">Almaty, Kazakhstan (Central Asian Regional Testing Facility)</w:t>
      </w:r>
    </w:p>
    <w:p>
      <w:pPr>
        <w:pStyle w:val="BodyText"/>
      </w:pPr>
      <w:r>
        <w:rPr>
          <w:bCs/>
          <w:b/>
        </w:rPr>
        <w:t xml:space="preserve">Lead Role:</w:t>
      </w:r>
      <w:r>
        <w:t xml:space="preserve"> </w:t>
      </w:r>
      <w:r>
        <w:t xml:space="preserve">Senior Electronics Engineer</w:t>
      </w:r>
    </w:p>
    <w:p>
      <w:pPr>
        <w:pStyle w:val="BodyText"/>
      </w:pPr>
      <w:r>
        <w:rPr>
          <w:bCs/>
          <w:b/>
        </w:rPr>
        <w:t xml:space="preserve">Protocol ID:</w:t>
      </w:r>
      <w:r>
        <w:t xml:space="preserve"> </w:t>
      </w:r>
      <w:r>
        <w:t xml:space="preserve">KZ-ALM-EE-2023-042</w:t>
      </w:r>
    </w:p>
    <w:p>
      <w:pPr>
        <w:pStyle w:val="BodyText"/>
      </w:pPr>
      <w:r>
        <w:rPr>
          <w:bCs/>
          <w:b/>
        </w:rPr>
        <w:t xml:space="preserve">Date:</w:t>
      </w:r>
      <w:r>
        <w:t xml:space="preserve"> </w:t>
      </w:r>
      <w:r>
        <w:t xml:space="preserve">October 24,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custom Printed Circuit Board (PCB) assemblies designed for industrial automation. The primary objective is to ensure that the electronic systems function reliably within the specific climatic and electromagnetic environments found in Almaty, Kazakhstan.</w:t>
      </w:r>
    </w:p>
    <w:p>
      <w:pPr>
        <w:pStyle w:val="BodyText"/>
      </w:pPr>
      <w:r>
        <w:t xml:space="preserve">As an Electronics Engineer operating in this region, it is critical to account for the unique geographical factors of Almaty, including its elevation (approximately 800–900 meters above sea level), continental climate with significant temperature fluctuations, and the specific electromagnetic interference (EMI) profiles of local industrial zones. This protocol serves as the definitive guide for the experimental phase, ensuring compliance with international standards (IEC) and local Kazakhstani technical regulations.</w:t>
      </w:r>
    </w:p>
    <w:bookmarkEnd w:id="21"/>
    <w:bookmarkStart w:id="22" w:name="scope-of-experiment"/>
    <w:p>
      <w:pPr>
        <w:pStyle w:val="Heading2"/>
      </w:pPr>
      <w:r>
        <w:t xml:space="preserve">2. Scope of Experiment</w:t>
      </w:r>
    </w:p>
    <w:p>
      <w:pPr>
        <w:pStyle w:val="FirstParagraph"/>
      </w:pPr>
      <w:r>
        <w:t xml:space="preserve">The scope of this experiment encompasses the following key areas:</w:t>
      </w:r>
    </w:p>
    <w:p>
      <w:pPr>
        <w:numPr>
          <w:ilvl w:val="0"/>
          <w:numId w:val="1001"/>
        </w:numPr>
        <w:pStyle w:val="Compact"/>
      </w:pPr>
      <w:r>
        <w:rPr>
          <w:bCs/>
          <w:b/>
        </w:rPr>
        <w:t xml:space="preserve">Thermal Stress Testing:</w:t>
      </w:r>
      <w:r>
        <w:t xml:space="preserve"> </w:t>
      </w:r>
      <w:r>
        <w:t xml:space="preserve">Evaluating component performance during Almaty's extreme winter lows (-25°C) and summer highs (+40°C).</w:t>
      </w:r>
    </w:p>
    <w:p>
      <w:pPr>
        <w:numPr>
          <w:ilvl w:val="0"/>
          <w:numId w:val="1001"/>
        </w:numPr>
        <w:pStyle w:val="Compact"/>
      </w:pPr>
      <w:r>
        <w:rPr>
          <w:bCs/>
          <w:b/>
        </w:rPr>
        <w:t xml:space="preserve">Signal Integrity Analysis:</w:t>
      </w:r>
      <w:r>
        <w:t xml:space="preserve"> </w:t>
      </w:r>
      <w:r>
        <w:t xml:space="preserve">Measuring noise margins and data transmission fidelity in high-frequency communication modules.</w:t>
      </w:r>
    </w:p>
    <w:p>
      <w:pPr>
        <w:numPr>
          <w:ilvl w:val="0"/>
          <w:numId w:val="1001"/>
        </w:numPr>
        <w:pStyle w:val="Compact"/>
      </w:pPr>
      <w:r>
        <w:rPr>
          <w:bCs/>
          <w:b/>
        </w:rPr>
        <w:t xml:space="preserve">Power Supply Stability:</w:t>
      </w:r>
      <w:r>
        <w:t xml:space="preserve"> </w:t>
      </w:r>
      <w:r>
        <w:t xml:space="preserve">Testing tolerance against voltage sags and surges common in regional power grids.</w:t>
      </w:r>
    </w:p>
    <w:p>
      <w:pPr>
        <w:numPr>
          <w:ilvl w:val="0"/>
          <w:numId w:val="1001"/>
        </w:numPr>
        <w:pStyle w:val="Compact"/>
      </w:pPr>
      <w:r>
        <w:rPr>
          <w:bCs/>
          <w:b/>
        </w:rPr>
        <w:t xml:space="preserve">Environmental Durability:</w:t>
      </w:r>
      <w:r>
        <w:t xml:space="preserve"> </w:t>
      </w:r>
      <w:r>
        <w:t xml:space="preserve">Assessing resistance to dust and humidity variations typical of the Trans-Ili Alatau region.</w:t>
      </w:r>
    </w:p>
    <w:bookmarkEnd w:id="22"/>
    <w:bookmarkStart w:id="23" w:name="roles-and-responsibilities"/>
    <w:p>
      <w:pPr>
        <w:pStyle w:val="Heading2"/>
      </w:pPr>
      <w:r>
        <w:t xml:space="preserve">3. Roles and Responsibilities</w:t>
      </w:r>
    </w:p>
    <w:p>
      <w:pPr>
        <w:pStyle w:val="FirstParagraph"/>
      </w:pPr>
      <w:r>
        <w:t xml:space="preserve">The execution of this protocol requires strict adherence to roles defined by the Electronics Engineer hierarchy:</w:t>
      </w:r>
    </w:p>
    <w:p>
      <w:pPr>
        <w:numPr>
          <w:ilvl w:val="0"/>
          <w:numId w:val="1002"/>
        </w:numPr>
        <w:pStyle w:val="Compact"/>
      </w:pPr>
      <w:r>
        <w:rPr>
          <w:bCs/>
          <w:b/>
        </w:rPr>
        <w:t xml:space="preserve">Lead Electronics Engineer:</w:t>
      </w:r>
      <w:r>
        <w:t xml:space="preserve"> </w:t>
      </w:r>
      <w:r>
        <w:t xml:space="preserve">Responsible for the overall design of the test setup, interpretation of oscilloscope and spectrum analyzer data, and final sign-off on the experiment results.</w:t>
      </w:r>
    </w:p>
    <w:p>
      <w:pPr>
        <w:numPr>
          <w:ilvl w:val="0"/>
          <w:numId w:val="1002"/>
        </w:numPr>
        <w:pStyle w:val="Compact"/>
      </w:pPr>
      <w:r>
        <w:rPr>
          <w:bCs/>
          <w:b/>
        </w:rPr>
        <w:t xml:space="preserve">Test Technician:</w:t>
      </w:r>
      <w:r>
        <w:t xml:space="preserve"> </w:t>
      </w:r>
      <w:r>
        <w:t xml:space="preserve">Assists in physical assembly, wiring, and logging raw data points.</w:t>
      </w:r>
    </w:p>
    <w:p>
      <w:pPr>
        <w:numPr>
          <w:ilvl w:val="0"/>
          <w:numId w:val="1002"/>
        </w:numPr>
        <w:pStyle w:val="Compact"/>
      </w:pPr>
      <w:r>
        <w:rPr>
          <w:bCs/>
          <w:b/>
        </w:rPr>
        <w:t xml:space="preserve">Safety Officer:</w:t>
      </w:r>
      <w:r>
        <w:t xml:space="preserve"> </w:t>
      </w:r>
      <w:r>
        <w:t xml:space="preserve">Ensures all high-voltage procedures comply with Kazakhstan's occupational safety standards.</w:t>
      </w:r>
    </w:p>
    <w:bookmarkEnd w:id="23"/>
    <w:bookmarkStart w:id="24" w:name="equipment-and-materials"/>
    <w:p>
      <w:pPr>
        <w:pStyle w:val="Heading2"/>
      </w:pPr>
      <w:r>
        <w:t xml:space="preserve">4. Equipment and Materials</w:t>
      </w:r>
    </w:p>
    <w:p>
      <w:pPr>
        <w:pStyle w:val="FirstParagraph"/>
      </w:pPr>
      <w:r>
        <w:t xml:space="preserve">The following calibrated equipment must be used for this experiment. All instruments must have valid calibration certificates traceable to national standards.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Digital Oscilloscope</w:t>
            </w:r>
          </w:p>
        </w:tc>
        <w:tc>
          <w:tcPr/>
          <w:p>
            <w:pPr>
              <w:pStyle w:val="Compact"/>
              <w:jc w:val="left"/>
            </w:pPr>
            <w:r>
              <w:t xml:space="preserve">Min. 200 MHz Bandwidth, 4 Channels</w:t>
            </w:r>
          </w:p>
        </w:tc>
        <w:tc>
          <w:tcPr/>
          <w:p>
            <w:pPr>
              <w:pStyle w:val="Compact"/>
              <w:jc w:val="left"/>
            </w:pPr>
            <w:r>
              <w:t xml:space="preserve">2</w:t>
            </w:r>
          </w:p>
        </w:tc>
      </w:tr>
      <w:tr>
        <w:tc>
          <w:tcPr/>
          <w:p>
            <w:pPr>
              <w:pStyle w:val="Compact"/>
              <w:jc w:val="left"/>
            </w:pPr>
            <w:r>
              <w:t xml:space="preserve">Programmable Power Supply</w:t>
            </w:r>
          </w:p>
        </w:tc>
        <w:tc>
          <w:tcPr/>
          <w:p>
            <w:pPr>
              <w:pStyle w:val="Compact"/>
              <w:jc w:val="left"/>
            </w:pPr>
            <w:r>
              <w:t xml:space="preserve">0-60V, 0-10A, Ripple &lt; 10mV</w:t>
            </w:r>
          </w:p>
        </w:tc>
        <w:tc>
          <w:tcPr/>
          <w:p>
            <w:pPr>
              <w:pStyle w:val="Compact"/>
              <w:jc w:val="left"/>
            </w:pPr>
            <w:r>
              <w:t xml:space="preserve">2</w:t>
            </w:r>
          </w:p>
        </w:tc>
      </w:tr>
      <w:tr>
        <w:tc>
          <w:tcPr/>
          <w:p>
            <w:pPr>
              <w:pStyle w:val="Compact"/>
              <w:jc w:val="left"/>
            </w:pPr>
            <w:r>
              <w:t xml:space="preserve">Environmental Chamber</w:t>
            </w:r>
          </w:p>
        </w:tc>
        <w:tc>
          <w:tcPr/>
          <w:p>
            <w:pPr>
              <w:pStyle w:val="Compact"/>
              <w:jc w:val="left"/>
            </w:pPr>
            <w:r>
              <w:t xml:space="preserve">Range: -40°C to +85°C, Humidity Control</w:t>
            </w:r>
          </w:p>
        </w:tc>
        <w:tc>
          <w:tcPr/>
          <w:p>
            <w:pPr>
              <w:pStyle w:val="Compact"/>
              <w:jc w:val="left"/>
            </w:pPr>
            <w:r>
              <w:t xml:space="preserve">1</w:t>
            </w:r>
          </w:p>
        </w:tc>
      </w:tr>
      <w:tr>
        <w:tc>
          <w:tcPr/>
          <w:p>
            <w:pPr>
              <w:pStyle w:val="Compact"/>
              <w:jc w:val="left"/>
            </w:pPr>
            <w:r>
              <w:t xml:space="preserve">Spectrum Analyzer</w:t>
            </w:r>
          </w:p>
        </w:tc>
        <w:tc>
          <w:tcPr/>
          <w:p>
            <w:pPr>
              <w:pStyle w:val="Compact"/>
              <w:jc w:val="left"/>
            </w:pPr>
            <w:r>
              <w:t xml:space="preserve">For EMI/EMC pre-compliance testing</w:t>
            </w:r>
          </w:p>
        </w:tc>
        <w:tc>
          <w:tcPr/>
          <w:p>
            <w:pPr>
              <w:pStyle w:val="Compact"/>
              <w:jc w:val="left"/>
            </w:pPr>
            <w:r>
              <w:t xml:space="preserve">1</w:t>
            </w:r>
          </w:p>
        </w:tc>
      </w:tr>
      <w:tr>
        <w:tc>
          <w:tcPr/>
          <w:p>
            <w:pPr>
              <w:pStyle w:val="Compact"/>
              <w:jc w:val="left"/>
            </w:pPr>
            <w:r>
              <w:t xml:space="preserve">Under Test (DUT)</w:t>
            </w:r>
          </w:p>
        </w:tc>
        <w:tc>
          <w:tcPr/>
          <w:p>
            <w:pPr>
              <w:pStyle w:val="Compact"/>
              <w:jc w:val="left"/>
            </w:pPr>
            <w:r>
              <w:t xml:space="preserve">Industrial IoT Node PCB v2.1</w:t>
            </w:r>
          </w:p>
        </w:tc>
        <w:tc>
          <w:tcPr/>
          <w:p>
            <w:pPr>
              <w:pStyle w:val="Compact"/>
              <w:jc w:val="left"/>
            </w:pPr>
            <w:r>
              <w:t xml:space="preserve">5 Units</w:t>
            </w:r>
          </w:p>
        </w:tc>
      </w:tr>
    </w:tbl>
    <w:bookmarkEnd w:id="24"/>
    <w:bookmarkStart w:id="30" w:name="experimental-procedure"/>
    <w:p>
      <w:pPr>
        <w:pStyle w:val="Heading2"/>
      </w:pPr>
      <w:r>
        <w:t xml:space="preserve">5. Experimental Procedure</w:t>
      </w:r>
    </w:p>
    <w:bookmarkStart w:id="25" w:name="pre-experiment-setup"/>
    <w:p>
      <w:pPr>
        <w:pStyle w:val="Heading3"/>
      </w:pPr>
      <w:r>
        <w:t xml:space="preserve">5.1. Pre-Experiment Setup</w:t>
      </w:r>
    </w:p>
    <w:p>
      <w:pPr>
        <w:pStyle w:val="FirstParagraph"/>
      </w:pPr>
      <w:r>
        <w:t xml:space="preserve">The Electronics Engineer must first verify the integrity of the test fixtures. Ensure that all grounding connections are secure to mitigate ground loops, which can skew measurements in sensitive RF circuits. The laboratory environment in Almaty must be stabilized to 25°C ± 2°C before initiating baseline measurements.</w:t>
      </w:r>
    </w:p>
    <w:bookmarkEnd w:id="25"/>
    <w:bookmarkStart w:id="26" w:name="baseline-functional-test"/>
    <w:p>
      <w:pPr>
        <w:pStyle w:val="Heading3"/>
      </w:pPr>
      <w:r>
        <w:t xml:space="preserve">5.2. Baseline Functional Test</w:t>
      </w:r>
    </w:p>
    <w:p>
      <w:pPr>
        <w:pStyle w:val="FirstParagraph"/>
      </w:pPr>
      <w:r>
        <w:t xml:space="preserve">Power on the Device Under Test (DUT) using the nominal voltage (24V DC). Monitor the startup sequence using the oscilloscope. Verify that all microcontroller peripherals initialize correctly and that the communication interface (e.g., LoRaWAN or Zigbee) establishes a link. Record the quiescent current draw.</w:t>
      </w:r>
    </w:p>
    <w:bookmarkEnd w:id="26"/>
    <w:bookmarkStart w:id="27" w:name="thermal-cycling-protocol"/>
    <w:p>
      <w:pPr>
        <w:pStyle w:val="Heading3"/>
      </w:pPr>
      <w:r>
        <w:t xml:space="preserve">5.3. Thermal Cycling Protocol</w:t>
      </w:r>
    </w:p>
    <w:p>
      <w:pPr>
        <w:pStyle w:val="FirstParagraph"/>
      </w:pPr>
      <w:r>
        <w:t xml:space="preserve">Place the DUT inside the environmental chamber. Program the chamber to simulate a rapid temperature drop from +40°C to -25°C over a period of 2 hours, holding at -25°C for 4 hours. This simulates a harsh Almaty winter night. The Electronics Engineer must monitor the system's watchdog timer and data logging capabilities throughout this cycle. Any failure to boot or loss of data integrity constitutes a critical failure.</w:t>
      </w:r>
    </w:p>
    <w:bookmarkEnd w:id="27"/>
    <w:bookmarkStart w:id="28" w:name="signal-integrity-and-noise-analysis"/>
    <w:p>
      <w:pPr>
        <w:pStyle w:val="Heading3"/>
      </w:pPr>
      <w:r>
        <w:t xml:space="preserve">5.4. Signal Integrity and Noise Analysis</w:t>
      </w:r>
    </w:p>
    <w:p>
      <w:pPr>
        <w:pStyle w:val="FirstParagraph"/>
      </w:pPr>
      <w:r>
        <w:t xml:space="preserve">With the system operating at maximum load, use the spectrum analyzer to measure emissions. Pay particular attention to harmonics that may interfere with local broadcasting frequencies regulated by the Committee for Technical Regulation and Metrology of Kazakhstan. The engineer must ensure that the signal-to-noise ratio (SNR) remains above 20dB across all communication bands.</w:t>
      </w:r>
    </w:p>
    <w:bookmarkEnd w:id="28"/>
    <w:bookmarkStart w:id="29" w:name="power-fluctuation-simulation"/>
    <w:p>
      <w:pPr>
        <w:pStyle w:val="Heading3"/>
      </w:pPr>
      <w:r>
        <w:t xml:space="preserve">5.5. Power Fluctuation Simulation</w:t>
      </w:r>
    </w:p>
    <w:p>
      <w:pPr>
        <w:pStyle w:val="FirstParagraph"/>
      </w:pPr>
      <w:r>
        <w:t xml:space="preserve">Using the programmable power supply, simulate a voltage sag to 18V DC for 500 milliseconds, followed by a surge to 30V DC for 100 milliseconds. This tests the robustness of the voltage regulation modules against grid instability. The system must not reset or corrupt memory during these events.</w:t>
      </w:r>
    </w:p>
    <w:bookmarkEnd w:id="29"/>
    <w:bookmarkEnd w:id="30"/>
    <w:bookmarkStart w:id="31" w:name="data-analysis-and-reporting"/>
    <w:p>
      <w:pPr>
        <w:pStyle w:val="Heading2"/>
      </w:pPr>
      <w:r>
        <w:t xml:space="preserve">6. Data Analysis and Reporting</w:t>
      </w:r>
    </w:p>
    <w:p>
      <w:pPr>
        <w:pStyle w:val="FirstParagraph"/>
      </w:pPr>
      <w:r>
        <w:t xml:space="preserve">Upon completion of the tests, the Electronics Engineer will compile all waveform captures, temperature logs, and error reports. The analysis must compare the observed performance against the design specifications. Any deviations must be documented with root cause analysis. The final report will be submitted to the project stakeholders in Almaty, detailing whether the hardware is approved for mass production or requires design iteration.</w:t>
      </w:r>
    </w:p>
    <w:bookmarkEnd w:id="31"/>
    <w:bookmarkStart w:id="32" w:name="safety-and-compliance"/>
    <w:p>
      <w:pPr>
        <w:pStyle w:val="Heading2"/>
      </w:pPr>
      <w:r>
        <w:t xml:space="preserve">7. Safety and Compliance</w:t>
      </w:r>
    </w:p>
    <w:p>
      <w:pPr>
        <w:pStyle w:val="FirstParagraph"/>
      </w:pPr>
      <w:r>
        <w:t xml:space="preserve">All personnel must adhere to the safety protocols established for high-voltage electronics testing. Proper personal protective equipment (PPE) is mandatory. Furthermore, the disposal of any electronic waste generated during this experiment must comply with the environmental regulations of the Republic of Kazakhstan.</w:t>
      </w:r>
    </w:p>
    <w:bookmarkEnd w:id="32"/>
    <w:p>
      <w:pPr>
        <w:pStyle w:val="BodyText"/>
      </w:pPr>
      <w:r>
        <w:rPr>
          <w:bCs/>
          <w:b/>
        </w:rPr>
        <w:t xml:space="preserve">Prepared By:</w:t>
      </w:r>
    </w:p>
    <w:p>
      <w:pPr>
        <w:pStyle w:val="BodyText"/>
      </w:pPr>
      <w:r>
        <w:t xml:space="preserve">Electronics Engineer Name</w:t>
      </w:r>
    </w:p>
    <w:p>
      <w:pPr>
        <w:pStyle w:val="BodyText"/>
      </w:pPr>
      <w:r>
        <w:rPr>
          <w:bCs/>
          <w:b/>
        </w:rPr>
        <w:t xml:space="preserve">Approved By:</w:t>
      </w:r>
    </w:p>
    <w:p>
      <w:pPr>
        <w:pStyle w:val="BodyText"/>
      </w:pPr>
      <w:r>
        <w:t xml:space="preserve">Project Manager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Engineering in Almaty, Kazakhstan</dc:title>
  <dc:creator/>
  <dc:language>en</dc:language>
  <cp:keywords/>
  <dcterms:created xsi:type="dcterms:W3CDTF">2026-10-10T00:28:07Z</dcterms:created>
  <dcterms:modified xsi:type="dcterms:W3CDTF">2026-10-10T00:28:07Z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