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experiment-protocol-electronics-engineer"/>
    <w:p>
      <w:pPr>
        <w:pStyle w:val="Heading1"/>
      </w:pPr>
      <w:r>
        <w:t xml:space="preserve">Experiment Protocol: Electronics Engineer</w:t>
      </w:r>
    </w:p>
    <w:p>
      <w:pPr>
        <w:pStyle w:val="FirstParagraph"/>
      </w:pPr>
      <w:r>
        <w:rPr>
          <w:bCs/>
          <w:b/>
        </w:rPr>
        <w:t xml:space="preserve">Location:</w:t>
      </w:r>
      <w:r>
        <w:t xml:space="preserve"> </w:t>
      </w:r>
      <w:r>
        <w:t xml:space="preserve">Kuala Lumpur, Malaysia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For:</w:t>
      </w:r>
      <w:r>
        <w:t xml:space="preserve"> </w:t>
      </w:r>
      <w:r>
        <w:t xml:space="preserve">Electronics Engineering Department, Kuala Lumpur Research Facility</w:t>
      </w:r>
    </w:p>
    <w:bookmarkEnd w:id="20"/>
    <w:bookmarkStart w:id="21" w:name="introduction"/>
    <w:p>
      <w:pPr>
        <w:pStyle w:val="Heading2"/>
      </w:pPr>
      <w:r>
        <w:t xml:space="preserve">1. Introduction</w:t>
      </w:r>
    </w:p>
    <w:p>
      <w:pPr>
        <w:pStyle w:val="FirstParagraph"/>
      </w:pPr>
      <w:r>
        <w:t xml:space="preserve">This Experiment Protocol outlines the procedures, safety measures, and technical requirements for conducting electronic experiments by an Electronics Engineer in Kuala Lumpur, Malaysia. The protocol is designed to ensure compliance with local regulations, including those set by the Malaysian Communications and Multimedia Commission (MCMC) and the Department of Occupational Safety and Health (DOSH). It also aligns with international standards such as IEC 61010 for electrical safety in measurement, control, and laboratory use.</w:t>
      </w:r>
    </w:p>
    <w:p>
      <w:pPr>
        <w:pStyle w:val="BodyText"/>
      </w:pPr>
      <w:r>
        <w:t xml:space="preserve">The primary objective of this protocol is to provide a structured framework for the Electronics Engineer to conduct experiments safely, efficiently, and in accordance with best practices. This document is particularly relevant for experiments involving high-voltage circuits, RF testing, and embedded systems, which are common in Kuala Lumpur's growing electronics industry.</w:t>
      </w:r>
    </w:p>
    <w:bookmarkEnd w:id="21"/>
    <w:bookmarkStart w:id="22" w:name="scope"/>
    <w:p>
      <w:pPr>
        <w:pStyle w:val="Heading2"/>
      </w:pPr>
      <w:r>
        <w:t xml:space="preserve">2. Scope</w:t>
      </w:r>
    </w:p>
    <w:p>
      <w:pPr>
        <w:pStyle w:val="FirstParagraph"/>
      </w:pPr>
      <w:r>
        <w:t xml:space="preserve">This protocol applies to all Electronics Engineers working in Kuala Lumpur, Malaysia, who are involved in the design, testing, and validation of electronic systems. It covers:</w:t>
      </w:r>
    </w:p>
    <w:p>
      <w:pPr>
        <w:numPr>
          <w:ilvl w:val="0"/>
          <w:numId w:val="1001"/>
        </w:numPr>
        <w:pStyle w:val="Compact"/>
      </w:pPr>
      <w:r>
        <w:t xml:space="preserve">Pre-experiment planning and risk assessment.</w:t>
      </w:r>
    </w:p>
    <w:p>
      <w:pPr>
        <w:numPr>
          <w:ilvl w:val="0"/>
          <w:numId w:val="1001"/>
        </w:numPr>
        <w:pStyle w:val="Compact"/>
      </w:pPr>
      <w:r>
        <w:t xml:space="preserve">Safety procedures for handling electrical equipment.</w:t>
      </w:r>
    </w:p>
    <w:p>
      <w:pPr>
        <w:numPr>
          <w:ilvl w:val="0"/>
          <w:numId w:val="1001"/>
        </w:numPr>
        <w:pStyle w:val="Compact"/>
      </w:pPr>
      <w:r>
        <w:t xml:space="preserve">Calibration and maintenance of test instruments.</w:t>
      </w:r>
    </w:p>
    <w:p>
      <w:pPr>
        <w:numPr>
          <w:ilvl w:val="0"/>
          <w:numId w:val="1001"/>
        </w:numPr>
        <w:pStyle w:val="Compact"/>
      </w:pPr>
      <w:r>
        <w:t xml:space="preserve">Data collection and documentation standards.</w:t>
      </w:r>
    </w:p>
    <w:p>
      <w:pPr>
        <w:numPr>
          <w:ilvl w:val="0"/>
          <w:numId w:val="1001"/>
        </w:numPr>
        <w:pStyle w:val="Compact"/>
      </w:pPr>
      <w:r>
        <w:t xml:space="preserve">Compliance with Malaysian and international regulations.</w:t>
      </w:r>
    </w:p>
    <w:bookmarkEnd w:id="22"/>
    <w:bookmarkStart w:id="25" w:name="responsibilities"/>
    <w:p>
      <w:pPr>
        <w:pStyle w:val="Heading2"/>
      </w:pPr>
      <w:r>
        <w:t xml:space="preserve">3. Responsibilities</w:t>
      </w:r>
    </w:p>
    <w:bookmarkStart w:id="23" w:name="electronics-engineer"/>
    <w:p>
      <w:pPr>
        <w:pStyle w:val="Heading3"/>
      </w:pPr>
      <w:r>
        <w:t xml:space="preserve">3.1 Electronics Engineer</w:t>
      </w:r>
    </w:p>
    <w:p>
      <w:pPr>
        <w:pStyle w:val="FirstParagraph"/>
      </w:pPr>
      <w:r>
        <w:t xml:space="preserve">The Electronics Engineer is responsible for:</w:t>
      </w:r>
    </w:p>
    <w:p>
      <w:pPr>
        <w:numPr>
          <w:ilvl w:val="0"/>
          <w:numId w:val="1002"/>
        </w:numPr>
        <w:pStyle w:val="Compact"/>
      </w:pPr>
      <w:r>
        <w:t xml:space="preserve">Conducting a thorough risk assessment before starting any experiment.</w:t>
      </w:r>
    </w:p>
    <w:p>
      <w:pPr>
        <w:numPr>
          <w:ilvl w:val="0"/>
          <w:numId w:val="1002"/>
        </w:numPr>
        <w:pStyle w:val="Compact"/>
      </w:pPr>
      <w:r>
        <w:t xml:space="preserve">Ensuring all equipment is properly calibrated and maintained.</w:t>
      </w:r>
    </w:p>
    <w:p>
      <w:pPr>
        <w:numPr>
          <w:ilvl w:val="0"/>
          <w:numId w:val="1002"/>
        </w:numPr>
        <w:pStyle w:val="Compact"/>
      </w:pPr>
      <w:r>
        <w:t xml:space="preserve">Following all safety protocols outlined in this document.</w:t>
      </w:r>
    </w:p>
    <w:p>
      <w:pPr>
        <w:numPr>
          <w:ilvl w:val="0"/>
          <w:numId w:val="1002"/>
        </w:numPr>
        <w:pStyle w:val="Compact"/>
      </w:pPr>
      <w:r>
        <w:t xml:space="preserve">Documenting all experimental procedures, results, and observations.</w:t>
      </w:r>
    </w:p>
    <w:p>
      <w:pPr>
        <w:numPr>
          <w:ilvl w:val="0"/>
          <w:numId w:val="1002"/>
        </w:numPr>
        <w:pStyle w:val="Compact"/>
      </w:pPr>
      <w:r>
        <w:t xml:space="preserve">Reporting any incidents or near-misses to the supervisor immediately.</w:t>
      </w:r>
    </w:p>
    <w:bookmarkEnd w:id="23"/>
    <w:bookmarkStart w:id="24" w:name="supervisor"/>
    <w:p>
      <w:pPr>
        <w:pStyle w:val="Heading3"/>
      </w:pPr>
      <w:r>
        <w:t xml:space="preserve">3.2 Supervisor</w:t>
      </w:r>
    </w:p>
    <w:p>
      <w:pPr>
        <w:pStyle w:val="FirstParagraph"/>
      </w:pPr>
      <w:r>
        <w:t xml:space="preserve">The Supervisor is responsible for:</w:t>
      </w:r>
    </w:p>
    <w:p>
      <w:pPr>
        <w:numPr>
          <w:ilvl w:val="0"/>
          <w:numId w:val="1003"/>
        </w:numPr>
        <w:pStyle w:val="Compact"/>
      </w:pPr>
      <w:r>
        <w:t xml:space="preserve">Reviewing and approving the experiment plan.</w:t>
      </w:r>
    </w:p>
    <w:p>
      <w:pPr>
        <w:numPr>
          <w:ilvl w:val="0"/>
          <w:numId w:val="1003"/>
        </w:numPr>
        <w:pStyle w:val="Compact"/>
      </w:pPr>
      <w:r>
        <w:t xml:space="preserve">Ensuring that the Electronics Engineer has the necessary training and qualifications.</w:t>
      </w:r>
    </w:p>
    <w:p>
      <w:pPr>
        <w:numPr>
          <w:ilvl w:val="0"/>
          <w:numId w:val="1003"/>
        </w:numPr>
        <w:pStyle w:val="Compact"/>
      </w:pPr>
      <w:r>
        <w:t xml:space="preserve">Providing access to safety equipment and resources.</w:t>
      </w:r>
    </w:p>
    <w:p>
      <w:pPr>
        <w:numPr>
          <w:ilvl w:val="0"/>
          <w:numId w:val="1003"/>
        </w:numPr>
        <w:pStyle w:val="Compact"/>
      </w:pPr>
      <w:r>
        <w:t xml:space="preserve">Conducting regular audits to ensure compliance with this protocol.</w:t>
      </w:r>
    </w:p>
    <w:bookmarkEnd w:id="24"/>
    <w:bookmarkEnd w:id="25"/>
    <w:bookmarkStart w:id="29" w:name="safety-procedures"/>
    <w:p>
      <w:pPr>
        <w:pStyle w:val="Heading2"/>
      </w:pPr>
      <w:r>
        <w:t xml:space="preserve">4. Safety Procedures</w:t>
      </w:r>
    </w:p>
    <w:bookmarkStart w:id="26" w:name="personal-protective-equipment-ppe"/>
    <w:p>
      <w:pPr>
        <w:pStyle w:val="Heading3"/>
      </w:pPr>
      <w:r>
        <w:t xml:space="preserve">4.1 Personal Protective Equipment (PPE)</w:t>
      </w:r>
    </w:p>
    <w:p>
      <w:pPr>
        <w:pStyle w:val="FirstParagraph"/>
      </w:pPr>
      <w:r>
        <w:t xml:space="preserve">All Electronics Engineers must wear appropriate PPE, including:</w:t>
      </w:r>
    </w:p>
    <w:p>
      <w:pPr>
        <w:numPr>
          <w:ilvl w:val="0"/>
          <w:numId w:val="1004"/>
        </w:numPr>
        <w:pStyle w:val="Compact"/>
      </w:pPr>
      <w:r>
        <w:t xml:space="preserve">Safety glasses to protect against flying debris or sparks.</w:t>
      </w:r>
    </w:p>
    <w:p>
      <w:pPr>
        <w:numPr>
          <w:ilvl w:val="0"/>
          <w:numId w:val="1004"/>
        </w:numPr>
        <w:pStyle w:val="Compact"/>
      </w:pPr>
      <w:r>
        <w:t xml:space="preserve">Insulated gloves when handling high-voltage components.</w:t>
      </w:r>
    </w:p>
    <w:p>
      <w:pPr>
        <w:numPr>
          <w:ilvl w:val="0"/>
          <w:numId w:val="1004"/>
        </w:numPr>
        <w:pStyle w:val="Compact"/>
      </w:pPr>
      <w:r>
        <w:t xml:space="preserve">Anti-static wrist straps when working with sensitive electronic components.</w:t>
      </w:r>
    </w:p>
    <w:p>
      <w:pPr>
        <w:numPr>
          <w:ilvl w:val="0"/>
          <w:numId w:val="1004"/>
        </w:numPr>
        <w:pStyle w:val="Compact"/>
      </w:pPr>
      <w:r>
        <w:t xml:space="preserve">Closed-toe shoes to protect against electrical hazards.</w:t>
      </w:r>
    </w:p>
    <w:bookmarkEnd w:id="26"/>
    <w:bookmarkStart w:id="27" w:name="electrical-safety"/>
    <w:p>
      <w:pPr>
        <w:pStyle w:val="Heading3"/>
      </w:pPr>
      <w:r>
        <w:t xml:space="preserve">4.2 Electrical Safety</w:t>
      </w:r>
    </w:p>
    <w:p>
      <w:pPr>
        <w:pStyle w:val="FirstParagraph"/>
      </w:pPr>
      <w:r>
        <w:t xml:space="preserve">The following electrical safety measures must be observed:</w:t>
      </w:r>
    </w:p>
    <w:p>
      <w:pPr>
        <w:numPr>
          <w:ilvl w:val="0"/>
          <w:numId w:val="1005"/>
        </w:numPr>
        <w:pStyle w:val="Compact"/>
      </w:pPr>
      <w:r>
        <w:t xml:space="preserve">Always disconnect power before making any changes to a circuit.</w:t>
      </w:r>
    </w:p>
    <w:p>
      <w:pPr>
        <w:numPr>
          <w:ilvl w:val="0"/>
          <w:numId w:val="1005"/>
        </w:numPr>
        <w:pStyle w:val="Compact"/>
      </w:pPr>
      <w:r>
        <w:t xml:space="preserve">Use insulated tools to prevent accidental short circuits.</w:t>
      </w:r>
    </w:p>
    <w:p>
      <w:pPr>
        <w:numPr>
          <w:ilvl w:val="0"/>
          <w:numId w:val="1005"/>
        </w:numPr>
        <w:pStyle w:val="Compact"/>
      </w:pPr>
      <w:r>
        <w:t xml:space="preserve">Ensure that all equipment is properly grounded.</w:t>
      </w:r>
    </w:p>
    <w:p>
      <w:pPr>
        <w:numPr>
          <w:ilvl w:val="0"/>
          <w:numId w:val="1005"/>
        </w:numPr>
        <w:pStyle w:val="Compact"/>
      </w:pPr>
      <w:r>
        <w:t xml:space="preserve">Avoid working alone when conducting high-risk experiments.</w:t>
      </w:r>
    </w:p>
    <w:bookmarkEnd w:id="27"/>
    <w:bookmarkStart w:id="28" w:name="emergency-procedures"/>
    <w:p>
      <w:pPr>
        <w:pStyle w:val="Heading3"/>
      </w:pPr>
      <w:r>
        <w:t xml:space="preserve">4.3 Emergency Procedures</w:t>
      </w:r>
    </w:p>
    <w:p>
      <w:pPr>
        <w:pStyle w:val="FirstParagraph"/>
      </w:pPr>
      <w:r>
        <w:t xml:space="preserve">In the event of an emergency, the Electronics Engineer must:</w:t>
      </w:r>
    </w:p>
    <w:p>
      <w:pPr>
        <w:numPr>
          <w:ilvl w:val="0"/>
          <w:numId w:val="1006"/>
        </w:numPr>
        <w:pStyle w:val="Compact"/>
      </w:pPr>
      <w:r>
        <w:t xml:space="preserve">Immediately shut off the power supply.</w:t>
      </w:r>
    </w:p>
    <w:p>
      <w:pPr>
        <w:numPr>
          <w:ilvl w:val="0"/>
          <w:numId w:val="1006"/>
        </w:numPr>
        <w:pStyle w:val="Compact"/>
      </w:pPr>
      <w:r>
        <w:t xml:space="preserve">Evacuate the area if there is a risk of fire or explosion.</w:t>
      </w:r>
    </w:p>
    <w:p>
      <w:pPr>
        <w:numPr>
          <w:ilvl w:val="0"/>
          <w:numId w:val="1006"/>
        </w:numPr>
        <w:pStyle w:val="Compact"/>
      </w:pPr>
      <w:r>
        <w:t xml:space="preserve">Contact the facility's emergency response team.</w:t>
      </w:r>
    </w:p>
    <w:p>
      <w:pPr>
        <w:numPr>
          <w:ilvl w:val="0"/>
          <w:numId w:val="1006"/>
        </w:numPr>
        <w:pStyle w:val="Compact"/>
      </w:pPr>
      <w:r>
        <w:t xml:space="preserve">Provide first aid if trained and if it is safe to do so.</w:t>
      </w:r>
    </w:p>
    <w:bookmarkEnd w:id="28"/>
    <w:bookmarkEnd w:id="29"/>
    <w:bookmarkStart w:id="30" w:name="equipment-and-calibration"/>
    <w:p>
      <w:pPr>
        <w:pStyle w:val="Heading2"/>
      </w:pPr>
      <w:r>
        <w:t xml:space="preserve">5. Equipment and Calibration</w:t>
      </w:r>
    </w:p>
    <w:p>
      <w:pPr>
        <w:pStyle w:val="FirstParagraph"/>
      </w:pPr>
      <w:r>
        <w:t xml:space="preserve">All equipment used in the experiment must be calibrated according to the manufacturer's specifications and in compliance with Malaysian Standards (MS) and ISO/IEC 17025. The following equipment is commonly used by Electronics Engineers in Kuala Lumpur: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Equipment</w:t>
            </w:r>
          </w:p>
        </w:tc>
        <w:tc>
          <w:tcPr/>
          <w:p>
            <w:pPr>
              <w:pStyle w:val="Compact"/>
              <w:jc w:val="left"/>
            </w:pPr>
            <w:r>
              <w:t xml:space="preserve">Purpose</w:t>
            </w:r>
          </w:p>
        </w:tc>
        <w:tc>
          <w:tcPr/>
          <w:p>
            <w:pPr>
              <w:pStyle w:val="Compact"/>
              <w:jc w:val="left"/>
            </w:pPr>
            <w:r>
              <w:t xml:space="preserve">Calibration Frequency</w:t>
            </w:r>
          </w:p>
        </w:tc>
      </w:tr>
      <w:tr>
        <w:tc>
          <w:tcPr/>
          <w:p>
            <w:pPr>
              <w:pStyle w:val="Compact"/>
              <w:jc w:val="left"/>
            </w:pPr>
            <w:r>
              <w:t xml:space="preserve">Oscilloscope</w:t>
            </w:r>
          </w:p>
        </w:tc>
        <w:tc>
          <w:tcPr/>
          <w:p>
            <w:pPr>
              <w:pStyle w:val="Compact"/>
              <w:jc w:val="left"/>
            </w:pPr>
            <w:r>
              <w:t xml:space="preserve">Signal analysis</w:t>
            </w:r>
          </w:p>
        </w:tc>
        <w:tc>
          <w:tcPr/>
          <w:p>
            <w:pPr>
              <w:pStyle w:val="Compact"/>
              <w:jc w:val="left"/>
            </w:pPr>
            <w:r>
              <w:t xml:space="preserve">Annually</w:t>
            </w:r>
          </w:p>
        </w:tc>
      </w:tr>
      <w:tr>
        <w:tc>
          <w:tcPr/>
          <w:p>
            <w:pPr>
              <w:pStyle w:val="Compact"/>
              <w:jc w:val="left"/>
            </w:pPr>
            <w:r>
              <w:t xml:space="preserve">Function Generator</w:t>
            </w:r>
          </w:p>
        </w:tc>
        <w:tc>
          <w:tcPr/>
          <w:p>
            <w:pPr>
              <w:pStyle w:val="Compact"/>
              <w:jc w:val="left"/>
            </w:pPr>
            <w:r>
              <w:t xml:space="preserve">Signal generation</w:t>
            </w:r>
          </w:p>
        </w:tc>
        <w:tc>
          <w:tcPr/>
          <w:p>
            <w:pPr>
              <w:pStyle w:val="Compact"/>
              <w:jc w:val="left"/>
            </w:pPr>
            <w:r>
              <w:t xml:space="preserve">Annually</w:t>
            </w:r>
          </w:p>
        </w:tc>
      </w:tr>
      <w:tr>
        <w:tc>
          <w:tcPr/>
          <w:p>
            <w:pPr>
              <w:pStyle w:val="Compact"/>
              <w:jc w:val="left"/>
            </w:pPr>
            <w:r>
              <w:t xml:space="preserve">Multimeter</w:t>
            </w:r>
          </w:p>
        </w:tc>
        <w:tc>
          <w:tcPr/>
          <w:p>
            <w:pPr>
              <w:pStyle w:val="Compact"/>
              <w:jc w:val="left"/>
            </w:pPr>
            <w:r>
              <w:t xml:space="preserve">Voltage, current, and resistance measurement</w:t>
            </w:r>
          </w:p>
        </w:tc>
        <w:tc>
          <w:tcPr/>
          <w:p>
            <w:pPr>
              <w:pStyle w:val="Compact"/>
              <w:jc w:val="left"/>
            </w:pPr>
            <w:r>
              <w:t xml:space="preserve">Semi-annually</w:t>
            </w:r>
          </w:p>
        </w:tc>
      </w:tr>
      <w:tr>
        <w:tc>
          <w:tcPr/>
          <w:p>
            <w:pPr>
              <w:pStyle w:val="Compact"/>
              <w:jc w:val="left"/>
            </w:pPr>
            <w:r>
              <w:t xml:space="preserve">Spectrum Analyzer</w:t>
            </w:r>
          </w:p>
        </w:tc>
        <w:tc>
          <w:tcPr/>
          <w:p>
            <w:pPr>
              <w:pStyle w:val="Compact"/>
              <w:jc w:val="left"/>
            </w:pPr>
            <w:r>
              <w:t xml:space="preserve">RF signal analysis</w:t>
            </w:r>
          </w:p>
        </w:tc>
        <w:tc>
          <w:tcPr/>
          <w:p>
            <w:pPr>
              <w:pStyle w:val="Compact"/>
              <w:jc w:val="left"/>
            </w:pPr>
            <w:r>
              <w:t xml:space="preserve">Annually</w:t>
            </w:r>
          </w:p>
        </w:tc>
      </w:tr>
    </w:tbl>
    <w:p>
      <w:pPr>
        <w:pStyle w:val="BodyText"/>
      </w:pPr>
      <w:r>
        <w:t xml:space="preserve">Note: Calibration records must be maintained and made available for inspection by regulatory authorities.</w:t>
      </w:r>
    </w:p>
    <w:bookmarkEnd w:id="30"/>
    <w:bookmarkStart w:id="34" w:name="experiment-procedure"/>
    <w:p>
      <w:pPr>
        <w:pStyle w:val="Heading2"/>
      </w:pPr>
      <w:r>
        <w:t xml:space="preserve">6. Experiment Procedure</w:t>
      </w:r>
    </w:p>
    <w:bookmarkStart w:id="31" w:name="pre-experiment-checklist"/>
    <w:p>
      <w:pPr>
        <w:pStyle w:val="Heading3"/>
      </w:pPr>
      <w:r>
        <w:t xml:space="preserve">6.1 Pre-Experiment Checklist</w:t>
      </w:r>
    </w:p>
    <w:p>
      <w:pPr>
        <w:pStyle w:val="FirstParagraph"/>
      </w:pPr>
      <w:r>
        <w:t xml:space="preserve">Before starting the experiment, the Electronics Engineer must complete the following checklist:</w:t>
      </w:r>
    </w:p>
    <w:p>
      <w:pPr>
        <w:numPr>
          <w:ilvl w:val="0"/>
          <w:numId w:val="1007"/>
        </w:numPr>
        <w:pStyle w:val="Compact"/>
      </w:pPr>
      <w:r>
        <w:t xml:space="preserve">Review the experiment plan and risk assessment.</w:t>
      </w:r>
    </w:p>
    <w:p>
      <w:pPr>
        <w:numPr>
          <w:ilvl w:val="0"/>
          <w:numId w:val="1007"/>
        </w:numPr>
        <w:pStyle w:val="Compact"/>
      </w:pPr>
      <w:r>
        <w:t xml:space="preserve">Ensure all equipment is calibrated and in good working condition.</w:t>
      </w:r>
    </w:p>
    <w:p>
      <w:pPr>
        <w:numPr>
          <w:ilvl w:val="0"/>
          <w:numId w:val="1007"/>
        </w:numPr>
        <w:pStyle w:val="Compact"/>
      </w:pPr>
      <w:r>
        <w:t xml:space="preserve">Verify that all safety measures are in place.</w:t>
      </w:r>
    </w:p>
    <w:p>
      <w:pPr>
        <w:numPr>
          <w:ilvl w:val="0"/>
          <w:numId w:val="1007"/>
        </w:numPr>
        <w:pStyle w:val="Compact"/>
      </w:pPr>
      <w:r>
        <w:t xml:space="preserve">Confirm that all necessary documentation is available.</w:t>
      </w:r>
    </w:p>
    <w:bookmarkEnd w:id="31"/>
    <w:bookmarkStart w:id="32" w:name="conducting-the-experiment"/>
    <w:p>
      <w:pPr>
        <w:pStyle w:val="Heading3"/>
      </w:pPr>
      <w:r>
        <w:t xml:space="preserve">6.2 Conducting the Experiment</w:t>
      </w:r>
    </w:p>
    <w:p>
      <w:pPr>
        <w:pStyle w:val="FirstParagraph"/>
      </w:pPr>
      <w:r>
        <w:t xml:space="preserve">During the experiment, the Electronics Engineer must:</w:t>
      </w:r>
    </w:p>
    <w:p>
      <w:pPr>
        <w:numPr>
          <w:ilvl w:val="0"/>
          <w:numId w:val="1008"/>
        </w:numPr>
        <w:pStyle w:val="Compact"/>
      </w:pPr>
      <w:r>
        <w:t xml:space="preserve">Follow the approved experiment plan.</w:t>
      </w:r>
    </w:p>
    <w:p>
      <w:pPr>
        <w:numPr>
          <w:ilvl w:val="0"/>
          <w:numId w:val="1008"/>
        </w:numPr>
        <w:pStyle w:val="Compact"/>
      </w:pPr>
      <w:r>
        <w:t xml:space="preserve">Monitor all equipment and circuits for abnormalities.</w:t>
      </w:r>
    </w:p>
    <w:p>
      <w:pPr>
        <w:numPr>
          <w:ilvl w:val="0"/>
          <w:numId w:val="1008"/>
        </w:numPr>
        <w:pStyle w:val="Compact"/>
      </w:pPr>
      <w:r>
        <w:t xml:space="preserve">Record all data accurately and in real-time.</w:t>
      </w:r>
    </w:p>
    <w:p>
      <w:pPr>
        <w:numPr>
          <w:ilvl w:val="0"/>
          <w:numId w:val="1008"/>
        </w:numPr>
        <w:pStyle w:val="Compact"/>
      </w:pPr>
      <w:r>
        <w:t xml:space="preserve">Take immediate corrective action if any issues arise.</w:t>
      </w:r>
    </w:p>
    <w:bookmarkEnd w:id="32"/>
    <w:bookmarkStart w:id="33" w:name="post-experiment-procedures"/>
    <w:p>
      <w:pPr>
        <w:pStyle w:val="Heading3"/>
      </w:pPr>
      <w:r>
        <w:t xml:space="preserve">6.3 Post-Experiment Procedures</w:t>
      </w:r>
    </w:p>
    <w:p>
      <w:pPr>
        <w:pStyle w:val="FirstParagraph"/>
      </w:pPr>
      <w:r>
        <w:t xml:space="preserve">After completing the experiment, the Electronics Engineer must:</w:t>
      </w:r>
    </w:p>
    <w:p>
      <w:pPr>
        <w:numPr>
          <w:ilvl w:val="0"/>
          <w:numId w:val="1009"/>
        </w:numPr>
        <w:pStyle w:val="Compact"/>
      </w:pPr>
      <w:r>
        <w:t xml:space="preserve">Power down all equipment and disconnect circuits.</w:t>
      </w:r>
    </w:p>
    <w:p>
      <w:pPr>
        <w:numPr>
          <w:ilvl w:val="0"/>
          <w:numId w:val="1009"/>
        </w:numPr>
        <w:pStyle w:val="Compact"/>
      </w:pPr>
      <w:r>
        <w:t xml:space="preserve">Clean and store all equipment properly.</w:t>
      </w:r>
    </w:p>
    <w:p>
      <w:pPr>
        <w:numPr>
          <w:ilvl w:val="0"/>
          <w:numId w:val="1009"/>
        </w:numPr>
        <w:pStyle w:val="Compact"/>
      </w:pPr>
      <w:r>
        <w:t xml:space="preserve">Analyze the data and prepare a report.</w:t>
      </w:r>
    </w:p>
    <w:p>
      <w:pPr>
        <w:numPr>
          <w:ilvl w:val="0"/>
          <w:numId w:val="1009"/>
        </w:numPr>
        <w:pStyle w:val="Compact"/>
      </w:pPr>
      <w:r>
        <w:t xml:space="preserve">Submit the report to the supervisor for review.</w:t>
      </w:r>
    </w:p>
    <w:bookmarkEnd w:id="33"/>
    <w:bookmarkEnd w:id="34"/>
    <w:bookmarkStart w:id="35" w:name="documentation-and-reporting"/>
    <w:p>
      <w:pPr>
        <w:pStyle w:val="Heading2"/>
      </w:pPr>
      <w:r>
        <w:t xml:space="preserve">7. Documentation and Reporting</w:t>
      </w:r>
    </w:p>
    <w:p>
      <w:pPr>
        <w:pStyle w:val="FirstParagraph"/>
      </w:pPr>
      <w:r>
        <w:t xml:space="preserve">All experiments must be documented in accordance with the following standards:</w:t>
      </w:r>
    </w:p>
    <w:p>
      <w:pPr>
        <w:numPr>
          <w:ilvl w:val="0"/>
          <w:numId w:val="1010"/>
        </w:numPr>
        <w:pStyle w:val="Compact"/>
      </w:pPr>
      <w:r>
        <w:t xml:space="preserve">Use a standardized experiment logbook or digital system.</w:t>
      </w:r>
    </w:p>
    <w:p>
      <w:pPr>
        <w:numPr>
          <w:ilvl w:val="0"/>
          <w:numId w:val="1010"/>
        </w:numPr>
        <w:pStyle w:val="Compact"/>
      </w:pPr>
      <w:r>
        <w:t xml:space="preserve">Include detailed descriptions of the experiment setup, procedures, and results.</w:t>
      </w:r>
    </w:p>
    <w:p>
      <w:pPr>
        <w:numPr>
          <w:ilvl w:val="0"/>
          <w:numId w:val="1010"/>
        </w:numPr>
        <w:pStyle w:val="Compact"/>
      </w:pPr>
      <w:r>
        <w:t xml:space="preserve">Attach all relevant data, graphs, and photographs.</w:t>
      </w:r>
    </w:p>
    <w:p>
      <w:pPr>
        <w:numPr>
          <w:ilvl w:val="0"/>
          <w:numId w:val="1010"/>
        </w:numPr>
        <w:pStyle w:val="Compact"/>
      </w:pPr>
      <w:r>
        <w:t xml:space="preserve">Ensure that all documentation is stored securely and is accessible for future reference.</w:t>
      </w:r>
    </w:p>
    <w:p>
      <w:pPr>
        <w:pStyle w:val="FirstParagraph"/>
      </w:pPr>
      <w:r>
        <w:t xml:space="preserve">Note: In Kuala Lumpur, Malaysia, documentation must comply with the requirements of the Malaysian Accreditation Council (MAC) if the facility is accredited.</w:t>
      </w:r>
    </w:p>
    <w:bookmarkEnd w:id="35"/>
    <w:bookmarkStart w:id="36" w:name="compliance-and-regulatory-requirements"/>
    <w:p>
      <w:pPr>
        <w:pStyle w:val="Heading2"/>
      </w:pPr>
      <w:r>
        <w:t xml:space="preserve">8. Compliance and Regulatory Requirements</w:t>
      </w:r>
    </w:p>
    <w:p>
      <w:pPr>
        <w:pStyle w:val="FirstParagraph"/>
      </w:pPr>
      <w:r>
        <w:t xml:space="preserve">This protocol ensures compliance with the following regulations and standards:</w:t>
      </w:r>
    </w:p>
    <w:p>
      <w:pPr>
        <w:numPr>
          <w:ilvl w:val="0"/>
          <w:numId w:val="1011"/>
        </w:numPr>
        <w:pStyle w:val="Compact"/>
      </w:pPr>
      <w:r>
        <w:t xml:space="preserve">Malaysian Communications and Multimedia Commission (MCMC) guidelines for RF testing.</w:t>
      </w:r>
    </w:p>
    <w:p>
      <w:pPr>
        <w:numPr>
          <w:ilvl w:val="0"/>
          <w:numId w:val="1011"/>
        </w:numPr>
        <w:pStyle w:val="Compact"/>
      </w:pPr>
      <w:r>
        <w:t xml:space="preserve">Department of Occupational Safety and Health (DOSH) regulations for workplace safety.</w:t>
      </w:r>
    </w:p>
    <w:p>
      <w:pPr>
        <w:numPr>
          <w:ilvl w:val="0"/>
          <w:numId w:val="1011"/>
        </w:numPr>
        <w:pStyle w:val="Compact"/>
      </w:pPr>
      <w:r>
        <w:t xml:space="preserve">IEC 61010 for electrical safety in measurement, control, and laboratory use.</w:t>
      </w:r>
    </w:p>
    <w:p>
      <w:pPr>
        <w:numPr>
          <w:ilvl w:val="0"/>
          <w:numId w:val="1011"/>
        </w:numPr>
        <w:pStyle w:val="Compact"/>
      </w:pPr>
      <w:r>
        <w:t xml:space="preserve">ISO/IEC 17025 for testing and calibration laboratories.</w:t>
      </w:r>
    </w:p>
    <w:p>
      <w:pPr>
        <w:pStyle w:val="FirstParagraph"/>
      </w:pPr>
      <w:r>
        <w:t xml:space="preserve">Failure to comply with this protocol may result in disciplinary action and legal consequences.</w:t>
      </w:r>
    </w:p>
    <w:bookmarkEnd w:id="36"/>
    <w:bookmarkStart w:id="37" w:name="conclusion"/>
    <w:p>
      <w:pPr>
        <w:pStyle w:val="Heading2"/>
      </w:pPr>
      <w:r>
        <w:t xml:space="preserve">9. Conclusion</w:t>
      </w:r>
    </w:p>
    <w:p>
      <w:pPr>
        <w:pStyle w:val="FirstParagraph"/>
      </w:pPr>
      <w:r>
        <w:t xml:space="preserve">This Experiment Protocol provides a comprehensive framework for Electronics Engineers working in Kuala Lumpur, Malaysia, to conduct experiments safely and effectively. By adhering to the procedures outlined in this document, engineers can ensure the integrity of their work, protect themselves and others from harm, and maintain compliance with local and international regulations.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Kuala Lumpur, Malaysia</dc:title>
  <dc:creator/>
  <dc:language>en</dc:language>
  <cp:keywords/>
  <dcterms:created xsi:type="dcterms:W3CDTF">2026-10-10T05:39:09Z</dcterms:created>
  <dcterms:modified xsi:type="dcterms:W3CDTF">2026-10-10T05:39:09Z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