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Electronics</w:t>
      </w:r>
      <w:r>
        <w:t xml:space="preserve"> </w:t>
      </w:r>
      <w:r>
        <w:t xml:space="preserve">Engineering</w:t>
      </w:r>
      <w:r>
        <w:t xml:space="preserve"> </w:t>
      </w:r>
      <w:r>
        <w:t xml:space="preserve">in</w:t>
      </w:r>
      <w:r>
        <w:t xml:space="preserve"> </w:t>
      </w:r>
      <w:r>
        <w:t xml:space="preserve">Yangon,</w:t>
      </w:r>
      <w:r>
        <w:t xml:space="preserve"> </w:t>
      </w:r>
      <w:r>
        <w:t xml:space="preserve">Myanmar</w:t>
      </w:r>
    </w:p>
    <w:bookmarkStart w:id="20" w:name="Xb26dfcb0f212e52eb9e52976cd66c753ea4fa4a"/>
    <w:p>
      <w:pPr>
        <w:pStyle w:val="Heading1"/>
      </w:pPr>
      <w:r>
        <w:t xml:space="preserve">Standard Experiment Protocol for Electronics Engineering</w:t>
      </w:r>
    </w:p>
    <w:p>
      <w:pPr>
        <w:pStyle w:val="FirstParagraph"/>
      </w:pPr>
      <w:r>
        <w:rPr>
          <w:bCs/>
          <w:b/>
        </w:rPr>
        <w:t xml:space="preserve">Location:</w:t>
      </w:r>
      <w:r>
        <w:t xml:space="preserve"> </w:t>
      </w:r>
      <w:r>
        <w:t xml:space="preserve">Yangon, Myanmar</w:t>
      </w:r>
    </w:p>
    <w:p>
      <w:pPr>
        <w:pStyle w:val="BodyText"/>
      </w:pPr>
      <w:r>
        <w:rPr>
          <w:bCs/>
          <w:b/>
        </w:rPr>
        <w:t xml:space="preserve">Target Audience:</w:t>
      </w:r>
      <w:r>
        <w:t xml:space="preserve"> </w:t>
      </w:r>
      <w:r>
        <w:t xml:space="preserve">Electronics Engineers, Technical Staff, and Research Personnel</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and-scope"/>
    <w:p>
      <w:pPr>
        <w:pStyle w:val="Heading2"/>
      </w:pPr>
      <w:r>
        <w:t xml:space="preserve">1. Introduction and Scope</w:t>
      </w:r>
    </w:p>
    <w:p>
      <w:pPr>
        <w:pStyle w:val="FirstParagraph"/>
      </w:pPr>
      <w:r>
        <w:t xml:space="preserve">This document outlines the mandatory Experiment Protocol for all Electronics Engineers operating within the Yangon region of Myanmar. Given the rapid technological development in Yangon's industrial zones and the specific environmental conditions of the region, this protocol ensures consistency, safety, and accuracy in electronic testing, prototyping, and validation.</w:t>
      </w:r>
    </w:p>
    <w:p>
      <w:pPr>
        <w:pStyle w:val="BodyText"/>
      </w:pPr>
      <w:r>
        <w:t xml:space="preserve">The scope of this protocol covers analog and digital circuit testing, embedded systems validation, power electronics analysis, and environmental stress testing. It is designed to address local challenges such as voltage fluctuations, high humidity, and dust, which are prevalent in Yangon.</w:t>
      </w:r>
    </w:p>
    <w:bookmarkEnd w:id="21"/>
    <w:bookmarkStart w:id="22" w:name="environmental-considerations-for-yangon"/>
    <w:p>
      <w:pPr>
        <w:pStyle w:val="Heading2"/>
      </w:pPr>
      <w:r>
        <w:t xml:space="preserve">2. Environmental Considerations for Yangon</w:t>
      </w:r>
    </w:p>
    <w:p>
      <w:pPr>
        <w:pStyle w:val="FirstParagraph"/>
      </w:pPr>
      <w:r>
        <w:t xml:space="preserve">Electronics Engineers in Yangon must account for the local climate and infrastructure when designing and executing experiments.</w:t>
      </w:r>
    </w:p>
    <w:p>
      <w:pPr>
        <w:numPr>
          <w:ilvl w:val="0"/>
          <w:numId w:val="1001"/>
        </w:numPr>
        <w:pStyle w:val="Compact"/>
      </w:pPr>
      <w:r>
        <w:rPr>
          <w:bCs/>
          <w:b/>
        </w:rPr>
        <w:t xml:space="preserve">Humidity Control:</w:t>
      </w:r>
      <w:r>
        <w:t xml:space="preserve"> </w:t>
      </w:r>
      <w:r>
        <w:t xml:space="preserve">Yangon experiences high humidity, particularly during the monsoon season. All experiments involving sensitive components must be conducted in climate-controlled environments or use desiccants to prevent corrosion and short circuits.</w:t>
      </w:r>
    </w:p>
    <w:p>
      <w:pPr>
        <w:numPr>
          <w:ilvl w:val="0"/>
          <w:numId w:val="1001"/>
        </w:numPr>
        <w:pStyle w:val="Compact"/>
      </w:pPr>
      <w:r>
        <w:rPr>
          <w:bCs/>
          <w:b/>
        </w:rPr>
        <w:t xml:space="preserve">Voltage Stability:</w:t>
      </w:r>
      <w:r>
        <w:t xml:space="preserve"> </w:t>
      </w:r>
      <w:r>
        <w:t xml:space="preserve">The local power grid may experience fluctuations. Engineers must use stabilized power supplies or uninterruptible power supplies (UPS) for all critical testing equipment to ensure data integrity and protect instruments.</w:t>
      </w:r>
    </w:p>
    <w:p>
      <w:pPr>
        <w:numPr>
          <w:ilvl w:val="0"/>
          <w:numId w:val="1001"/>
        </w:numPr>
        <w:pStyle w:val="Compact"/>
      </w:pPr>
      <w:r>
        <w:rPr>
          <w:bCs/>
          <w:b/>
        </w:rPr>
        <w:t xml:space="preserve">Dust and Particulates:</w:t>
      </w:r>
      <w:r>
        <w:t xml:space="preserve"> </w:t>
      </w:r>
      <w:r>
        <w:t xml:space="preserve">During the dry season, dust levels can be high. Enclosures for experimental setups should be sealed or filtered to prevent particulate contamination of contacts and PCBs.</w:t>
      </w:r>
    </w:p>
    <w:bookmarkEnd w:id="22"/>
    <w:bookmarkStart w:id="23" w:name="pre-experiment-preparation"/>
    <w:p>
      <w:pPr>
        <w:pStyle w:val="Heading2"/>
      </w:pPr>
      <w:r>
        <w:t xml:space="preserve">3. Pre-Experiment Preparation</w:t>
      </w:r>
    </w:p>
    <w:p>
      <w:pPr>
        <w:pStyle w:val="FirstParagraph"/>
      </w:pPr>
      <w:r>
        <w:t xml:space="preserve">Before initiating any experiment, the Electronics Engineer must complete the following steps:</w:t>
      </w:r>
    </w:p>
    <w:p>
      <w:pPr>
        <w:numPr>
          <w:ilvl w:val="0"/>
          <w:numId w:val="1002"/>
        </w:numPr>
        <w:pStyle w:val="Compact"/>
      </w:pPr>
      <w:r>
        <w:rPr>
          <w:bCs/>
          <w:b/>
        </w:rPr>
        <w:t xml:space="preserve">Define Objectives:</w:t>
      </w:r>
      <w:r>
        <w:t xml:space="preserve"> </w:t>
      </w:r>
      <w:r>
        <w:t xml:space="preserve">Clearly state the purpose of the experiment, including hypotheses and expected outcomes.</w:t>
      </w:r>
    </w:p>
    <w:p>
      <w:pPr>
        <w:numPr>
          <w:ilvl w:val="0"/>
          <w:numId w:val="1002"/>
        </w:numPr>
        <w:pStyle w:val="Compact"/>
      </w:pPr>
      <w:r>
        <w:rPr>
          <w:bCs/>
          <w:b/>
        </w:rPr>
        <w:t xml:space="preserve">Review Schematics:</w:t>
      </w:r>
      <w:r>
        <w:t xml:space="preserve"> </w:t>
      </w:r>
      <w:r>
        <w:t xml:space="preserve">Verify all circuit diagrams and component specifications against the latest revisions.</w:t>
      </w:r>
    </w:p>
    <w:p>
      <w:pPr>
        <w:numPr>
          <w:ilvl w:val="0"/>
          <w:numId w:val="1002"/>
        </w:numPr>
        <w:pStyle w:val="Compact"/>
      </w:pPr>
      <w:r>
        <w:rPr>
          <w:bCs/>
          <w:b/>
        </w:rPr>
        <w:t xml:space="preserve">Equipment Calibration:</w:t>
      </w:r>
      <w:r>
        <w:t xml:space="preserve"> </w:t>
      </w:r>
      <w:r>
        <w:t xml:space="preserve">Ensure all multimeters, oscilloscopes, function generators, and logic analyzers are calibrated according to manufacturer guidelines. Record calibration dates.</w:t>
      </w:r>
    </w:p>
    <w:p>
      <w:pPr>
        <w:numPr>
          <w:ilvl w:val="0"/>
          <w:numId w:val="1002"/>
        </w:numPr>
        <w:pStyle w:val="Compact"/>
      </w:pPr>
      <w:r>
        <w:rPr>
          <w:bCs/>
          <w:b/>
        </w:rPr>
        <w:t xml:space="preserve">Safety Inspection:</w:t>
      </w:r>
      <w:r>
        <w:t xml:space="preserve"> </w:t>
      </w:r>
      <w:r>
        <w:t xml:space="preserve">Check for damaged cables, exposed conductors, and proper grounding of all equipment. Ensure fire extinguishers and first aid kits are accessible.</w:t>
      </w:r>
    </w:p>
    <w:p>
      <w:pPr>
        <w:numPr>
          <w:ilvl w:val="0"/>
          <w:numId w:val="1002"/>
        </w:numPr>
        <w:pStyle w:val="Compact"/>
      </w:pPr>
      <w:r>
        <w:rPr>
          <w:bCs/>
          <w:b/>
        </w:rPr>
        <w:t xml:space="preserve">Component Verification:</w:t>
      </w:r>
      <w:r>
        <w:t xml:space="preserve"> </w:t>
      </w:r>
      <w:r>
        <w:t xml:space="preserve">Inspect all electronic components for physical damage, correct ratings, and authenticity, especially given the prevalence of counterfeit parts in regional supply chains.</w:t>
      </w:r>
    </w:p>
    <w:bookmarkEnd w:id="23"/>
    <w:bookmarkStart w:id="24" w:name="safety-procedures"/>
    <w:p>
      <w:pPr>
        <w:pStyle w:val="Heading2"/>
      </w:pPr>
      <w:r>
        <w:t xml:space="preserve">4. Safety Procedures</w:t>
      </w:r>
    </w:p>
    <w:p>
      <w:pPr>
        <w:pStyle w:val="FirstParagraph"/>
      </w:pPr>
      <w:r>
        <w:t xml:space="preserve">Safety is paramount. All Electronics Engineers must adhere to the following:</w:t>
      </w:r>
    </w:p>
    <w:p>
      <w:pPr>
        <w:numPr>
          <w:ilvl w:val="0"/>
          <w:numId w:val="1003"/>
        </w:numPr>
        <w:pStyle w:val="Compact"/>
      </w:pPr>
      <w:r>
        <w:rPr>
          <w:bCs/>
          <w:b/>
        </w:rPr>
        <w:t xml:space="preserve">Personal Protective Equipment (PPE):</w:t>
      </w:r>
      <w:r>
        <w:t xml:space="preserve"> </w:t>
      </w:r>
      <w:r>
        <w:t xml:space="preserve">Wear safety glasses, anti-static wrist straps, and appropriate footwear. Use insulated tools when working with high voltage.</w:t>
      </w:r>
    </w:p>
    <w:p>
      <w:pPr>
        <w:numPr>
          <w:ilvl w:val="0"/>
          <w:numId w:val="1003"/>
        </w:numPr>
        <w:pStyle w:val="Compact"/>
      </w:pPr>
      <w:r>
        <w:rPr>
          <w:bCs/>
          <w:b/>
        </w:rPr>
        <w:t xml:space="preserve">Electrostatic Discharge (ESD) Protection:</w:t>
      </w:r>
      <w:r>
        <w:t xml:space="preserve"> </w:t>
      </w:r>
      <w:r>
        <w:t xml:space="preserve">Use ESD-safe mats and workstations, especially when handling MOSFETs, ICs, and other sensitive components.</w:t>
      </w:r>
    </w:p>
    <w:p>
      <w:pPr>
        <w:numPr>
          <w:ilvl w:val="0"/>
          <w:numId w:val="1003"/>
        </w:numPr>
        <w:pStyle w:val="Compact"/>
      </w:pPr>
      <w:r>
        <w:rPr>
          <w:bCs/>
          <w:b/>
        </w:rPr>
        <w:t xml:space="preserve">High Voltage Precautions:</w:t>
      </w:r>
      <w:r>
        <w:t xml:space="preserve"> </w:t>
      </w:r>
      <w:r>
        <w:t xml:space="preserve">When testing power electronics, ensure proper isolation and use warning signs. Never work alone on high-voltage circuits.</w:t>
      </w:r>
    </w:p>
    <w:p>
      <w:pPr>
        <w:numPr>
          <w:ilvl w:val="0"/>
          <w:numId w:val="1003"/>
        </w:numPr>
        <w:pStyle w:val="Compact"/>
      </w:pPr>
      <w:r>
        <w:rPr>
          <w:bCs/>
          <w:b/>
        </w:rPr>
        <w:t xml:space="preserve">Chemical Safety:</w:t>
      </w:r>
      <w:r>
        <w:t xml:space="preserve"> </w:t>
      </w:r>
      <w:r>
        <w:t xml:space="preserve">Handle soldering fumes, solvents, and cleaning agents in well-ventilated areas. Use fume extractors where available.</w:t>
      </w:r>
    </w:p>
    <w:bookmarkEnd w:id="24"/>
    <w:bookmarkStart w:id="29" w:name="experimental-procedure"/>
    <w:p>
      <w:pPr>
        <w:pStyle w:val="Heading2"/>
      </w:pPr>
      <w:r>
        <w:t xml:space="preserve">5. Experimental Procedure</w:t>
      </w:r>
    </w:p>
    <w:p>
      <w:pPr>
        <w:pStyle w:val="FirstParagraph"/>
      </w:pPr>
      <w:r>
        <w:t xml:space="preserve">The core experiment must follow a structured approach:</w:t>
      </w:r>
    </w:p>
    <w:bookmarkStart w:id="25" w:name="setup"/>
    <w:p>
      <w:pPr>
        <w:pStyle w:val="Heading3"/>
      </w:pPr>
      <w:r>
        <w:t xml:space="preserve">5.1 Setup</w:t>
      </w:r>
    </w:p>
    <w:p>
      <w:pPr>
        <w:pStyle w:val="FirstParagraph"/>
      </w:pPr>
      <w:r>
        <w:t xml:space="preserve">Assemble the circuit on a breadboard or PCB according to the schematic. Double-check connections before applying power. Use color-coded wires for clarity.</w:t>
      </w:r>
    </w:p>
    <w:bookmarkEnd w:id="25"/>
    <w:bookmarkStart w:id="26" w:name="power-up-sequence"/>
    <w:p>
      <w:pPr>
        <w:pStyle w:val="Heading3"/>
      </w:pPr>
      <w:r>
        <w:t xml:space="preserve">5.2 Power-Up Sequence</w:t>
      </w:r>
    </w:p>
    <w:p>
      <w:pPr>
        <w:pStyle w:val="FirstParagraph"/>
      </w:pPr>
      <w:r>
        <w:t xml:space="preserve">Apply power gradually using a variable power supply. Monitor current draw to detect short circuits immediately. Start at a low voltage and increase to the nominal operating level.</w:t>
      </w:r>
    </w:p>
    <w:bookmarkEnd w:id="26"/>
    <w:bookmarkStart w:id="27" w:name="data-collection"/>
    <w:p>
      <w:pPr>
        <w:pStyle w:val="Heading3"/>
      </w:pPr>
      <w:r>
        <w:t xml:space="preserve">5.3 Data Collection</w:t>
      </w:r>
    </w:p>
    <w:p>
      <w:pPr>
        <w:pStyle w:val="FirstParagraph"/>
      </w:pPr>
      <w:r>
        <w:t xml:space="preserve">Record all measurements systematically. Use digital instruments where possible to minimize human error. Capture waveforms, voltage levels, current values, and timing parameters. Ensure data is timestamped and labeled clearly.</w:t>
      </w:r>
    </w:p>
    <w:bookmarkEnd w:id="27"/>
    <w:bookmarkStart w:id="28" w:name="environmental-stress-testing"/>
    <w:p>
      <w:pPr>
        <w:pStyle w:val="Heading3"/>
      </w:pPr>
      <w:r>
        <w:t xml:space="preserve">5.4 Environmental Stress Testing</w:t>
      </w:r>
    </w:p>
    <w:p>
      <w:pPr>
        <w:pStyle w:val="FirstParagraph"/>
      </w:pPr>
      <w:r>
        <w:t xml:space="preserve">For products intended for Yangon deployment, conduct thermal cycling and humidity exposure tests to simulate local conditions. Monitor performance degradation over time.</w:t>
      </w:r>
    </w:p>
    <w:bookmarkEnd w:id="28"/>
    <w:bookmarkEnd w:id="29"/>
    <w:bookmarkStart w:id="30" w:name="data-analysis-and-reporting"/>
    <w:p>
      <w:pPr>
        <w:pStyle w:val="Heading2"/>
      </w:pPr>
      <w:r>
        <w:t xml:space="preserve">6. Data Analysis and Reporting</w:t>
      </w:r>
    </w:p>
    <w:p>
      <w:pPr>
        <w:pStyle w:val="FirstParagraph"/>
      </w:pPr>
      <w:r>
        <w:t xml:space="preserve">After data collection, the Electronics Engineer must:</w:t>
      </w:r>
    </w:p>
    <w:p>
      <w:pPr>
        <w:numPr>
          <w:ilvl w:val="0"/>
          <w:numId w:val="1004"/>
        </w:numPr>
        <w:pStyle w:val="Compact"/>
      </w:pPr>
      <w:r>
        <w:t xml:space="preserve">Analyze results against expected values and tolerances.</w:t>
      </w:r>
    </w:p>
    <w:p>
      <w:pPr>
        <w:numPr>
          <w:ilvl w:val="0"/>
          <w:numId w:val="1004"/>
        </w:numPr>
        <w:pStyle w:val="Compact"/>
      </w:pPr>
      <w:r>
        <w:t xml:space="preserve">Identify any anomalies or deviations and investigate their causes.</w:t>
      </w:r>
    </w:p>
    <w:p>
      <w:pPr>
        <w:numPr>
          <w:ilvl w:val="0"/>
          <w:numId w:val="1004"/>
        </w:numPr>
        <w:pStyle w:val="Compact"/>
      </w:pPr>
      <w:r>
        <w:t xml:space="preserve">Prepare a detailed report including objectives, methodology, raw data, analysis, conclusions, and recommendations.</w:t>
      </w:r>
    </w:p>
    <w:p>
      <w:pPr>
        <w:numPr>
          <w:ilvl w:val="0"/>
          <w:numId w:val="1004"/>
        </w:numPr>
        <w:pStyle w:val="Compact"/>
      </w:pPr>
      <w:r>
        <w:t xml:space="preserve">Store all data securely, both digitally and in physical logs, for future reference and quality assurance.</w:t>
      </w:r>
    </w:p>
    <w:bookmarkEnd w:id="30"/>
    <w:bookmarkStart w:id="31" w:name="troubleshooting-and-contingency"/>
    <w:p>
      <w:pPr>
        <w:pStyle w:val="Heading2"/>
      </w:pPr>
      <w:r>
        <w:t xml:space="preserve">7. Troubleshooting and Contingency</w:t>
      </w:r>
    </w:p>
    <w:p>
      <w:pPr>
        <w:pStyle w:val="FirstParagraph"/>
      </w:pPr>
      <w:r>
        <w:t xml:space="preserve">If unexpected behavior occurs:</w:t>
      </w:r>
    </w:p>
    <w:p>
      <w:pPr>
        <w:numPr>
          <w:ilvl w:val="0"/>
          <w:numId w:val="1005"/>
        </w:numPr>
        <w:pStyle w:val="Compact"/>
      </w:pPr>
      <w:r>
        <w:t xml:space="preserve">Immediately power down the circuit.</w:t>
      </w:r>
    </w:p>
    <w:p>
      <w:pPr>
        <w:numPr>
          <w:ilvl w:val="0"/>
          <w:numId w:val="1005"/>
        </w:numPr>
        <w:pStyle w:val="Compact"/>
      </w:pPr>
      <w:r>
        <w:t xml:space="preserve">Isolate the faulty section using systematic debugging techniques.</w:t>
      </w:r>
    </w:p>
    <w:p>
      <w:pPr>
        <w:numPr>
          <w:ilvl w:val="0"/>
          <w:numId w:val="1005"/>
        </w:numPr>
        <w:pStyle w:val="Compact"/>
      </w:pPr>
      <w:r>
        <w:t xml:space="preserve">Document the issue and steps taken to resolve it.</w:t>
      </w:r>
    </w:p>
    <w:p>
      <w:pPr>
        <w:numPr>
          <w:ilvl w:val="0"/>
          <w:numId w:val="1005"/>
        </w:numPr>
        <w:pStyle w:val="Compact"/>
      </w:pPr>
      <w:r>
        <w:t xml:space="preserve">If the issue poses a safety risk, evacuate the area and notify supervisors.</w:t>
      </w:r>
    </w:p>
    <w:bookmarkEnd w:id="31"/>
    <w:bookmarkStart w:id="32" w:name="conclusion"/>
    <w:p>
      <w:pPr>
        <w:pStyle w:val="Heading2"/>
      </w:pPr>
      <w:r>
        <w:t xml:space="preserve">8. Conclusion</w:t>
      </w:r>
    </w:p>
    <w:p>
      <w:pPr>
        <w:pStyle w:val="FirstParagraph"/>
      </w:pPr>
      <w:r>
        <w:t xml:space="preserve">This Experiment Protocol is designed to standardize practices for Electronics Engineers in Yangon, Myanmar. By following these guidelines, engineers can ensure the reliability, safety, and quality of their work, contributing to the technological advancement of the region.</w:t>
      </w:r>
    </w:p>
    <w:p>
      <w:pPr>
        <w:pStyle w:val="BodyText"/>
      </w:pPr>
      <w:r>
        <w:t xml:space="preserve">All personnel must familiarize themselves with this document and adhere to its requirements strictly.</w:t>
      </w:r>
    </w:p>
    <w:bookmarkEnd w:id="32"/>
    <w:p>
      <w:pPr>
        <w:pStyle w:val="BodyText"/>
      </w:pPr>
      <w:r>
        <w:rPr>
          <w:bCs/>
          <w:b/>
        </w:rPr>
        <w:t xml:space="preserve">Note:</w:t>
      </w:r>
      <w:r>
        <w:t xml:space="preserve"> </w:t>
      </w:r>
      <w:r>
        <w:t xml:space="preserve">This protocol should be reviewed annually or whenever significant changes occur in technology, regulations, or local conditions in Yangon.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Electronics Engineering in Yangon, Myanmar</dc:title>
  <dc:creator/>
  <dc:language>en</dc:language>
  <cp:keywords/>
  <dcterms:created xsi:type="dcterms:W3CDTF">2026-10-10T00:23:05Z</dcterms:created>
  <dcterms:modified xsi:type="dcterms:W3CDTF">2026-10-10T00:23:05Z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