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7eb2efb7ad507cb61bb8923dc3c6dc37229bdf2"/>
    <w:p>
      <w:pPr>
        <w:pStyle w:val="Heading1"/>
      </w:pPr>
      <w:r>
        <w:t xml:space="preserve">Experiment Protocol: Electronics Engineer in Nepal Kathmandu</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Kathmandu, Nepal</w:t>
      </w:r>
      <w:r>
        <w:br/>
      </w:r>
      <w:r>
        <w:rPr>
          <w:bCs/>
          <w:b/>
        </w:rPr>
        <w:t xml:space="preserve">Prepared by:</w:t>
      </w:r>
      <w:r>
        <w:t xml:space="preserve"> </w:t>
      </w:r>
      <w:r>
        <w:t xml:space="preserve">Electronics Engineering Department</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guidelines for conducting electronics experiments in Kathmandu, Nepal. The protocol is designed to ensure that all experiments are conducted safely, efficiently, and in compliance with local regulations and international standards. It is intended for use by Electronics Engineers, researchers, and students working in laboratories, educational institutions, and industrial settings in Kathmandu.</w:t>
      </w:r>
    </w:p>
    <w:p>
      <w:pPr>
        <w:pStyle w:val="BodyText"/>
      </w:pPr>
      <w:r>
        <w:t xml:space="preserve">Kathmandu, as the capital city of Nepal, presents unique environmental and infrastructural challenges, including fluctuating power supplies, high humidity during monsoon seasons, and seismic activity. This protocol addresses these factors to ensure the reliability and safety of electronic experiments.</w:t>
      </w:r>
    </w:p>
    <w:bookmarkEnd w:id="21"/>
    <w:bookmarkStart w:id="22" w:name="objectives"/>
    <w:p>
      <w:pPr>
        <w:pStyle w:val="Heading2"/>
      </w:pPr>
      <w:r>
        <w:t xml:space="preserve">2. Objectives</w:t>
      </w:r>
    </w:p>
    <w:p>
      <w:pPr>
        <w:numPr>
          <w:ilvl w:val="0"/>
          <w:numId w:val="1001"/>
        </w:numPr>
        <w:pStyle w:val="Compact"/>
      </w:pPr>
      <w:r>
        <w:t xml:space="preserve">To establish standardized procedures for conducting electronics experiments in Kathmandu.</w:t>
      </w:r>
    </w:p>
    <w:p>
      <w:pPr>
        <w:numPr>
          <w:ilvl w:val="0"/>
          <w:numId w:val="1001"/>
        </w:numPr>
        <w:pStyle w:val="Compact"/>
      </w:pPr>
      <w:r>
        <w:t xml:space="preserve">To ensure the safety of personnel and equipment during experiments.</w:t>
      </w:r>
    </w:p>
    <w:p>
      <w:pPr>
        <w:numPr>
          <w:ilvl w:val="0"/>
          <w:numId w:val="1001"/>
        </w:numPr>
        <w:pStyle w:val="Compact"/>
      </w:pPr>
      <w:r>
        <w:t xml:space="preserve">To account for local environmental and infrastructural conditions in experimental design.</w:t>
      </w:r>
    </w:p>
    <w:p>
      <w:pPr>
        <w:numPr>
          <w:ilvl w:val="0"/>
          <w:numId w:val="1001"/>
        </w:numPr>
        <w:pStyle w:val="Compact"/>
      </w:pPr>
      <w:r>
        <w:t xml:space="preserve">To promote best practices in data collection, analysis, and reporting.</w:t>
      </w:r>
    </w:p>
    <w:bookmarkEnd w:id="22"/>
    <w:bookmarkStart w:id="23" w:name="scope"/>
    <w:p>
      <w:pPr>
        <w:pStyle w:val="Heading2"/>
      </w:pPr>
      <w:r>
        <w:t xml:space="preserve">3. Scope</w:t>
      </w:r>
    </w:p>
    <w:p>
      <w:pPr>
        <w:pStyle w:val="FirstParagraph"/>
      </w:pPr>
      <w:r>
        <w:t xml:space="preserve">This protocol applies to all Electronics Engineers and related personnel conducting experiments involving electronic circuits, devices, and systems in Kathmandu. It covers laboratory settings, field tests, and industrial applications. The protocol is applicable to both academic and commercial projects.</w:t>
      </w:r>
    </w:p>
    <w:bookmarkEnd w:id="23"/>
    <w:bookmarkStart w:id="27" w:name="safety-guidelines"/>
    <w:p>
      <w:pPr>
        <w:pStyle w:val="Heading2"/>
      </w:pPr>
      <w:r>
        <w:t xml:space="preserve">4. Safety Guidelines</w:t>
      </w:r>
    </w:p>
    <w:bookmarkStart w:id="24" w:name="personal-safety"/>
    <w:p>
      <w:pPr>
        <w:pStyle w:val="Heading3"/>
      </w:pPr>
      <w:r>
        <w:t xml:space="preserve">4.1 Personal Safety</w:t>
      </w:r>
    </w:p>
    <w:p>
      <w:pPr>
        <w:numPr>
          <w:ilvl w:val="0"/>
          <w:numId w:val="1002"/>
        </w:numPr>
        <w:pStyle w:val="Compact"/>
      </w:pPr>
      <w:r>
        <w:t xml:space="preserve">Wear appropriate personal protective equipment (PPE), including safety glasses, gloves, and lab coats.</w:t>
      </w:r>
    </w:p>
    <w:p>
      <w:pPr>
        <w:numPr>
          <w:ilvl w:val="0"/>
          <w:numId w:val="1002"/>
        </w:numPr>
        <w:pStyle w:val="Compact"/>
      </w:pPr>
      <w:r>
        <w:t xml:space="preserve">Avoid wearing loose clothing or jewelry that could interfere with equipment.</w:t>
      </w:r>
    </w:p>
    <w:p>
      <w:pPr>
        <w:numPr>
          <w:ilvl w:val="0"/>
          <w:numId w:val="1002"/>
        </w:numPr>
        <w:pStyle w:val="Compact"/>
      </w:pPr>
      <w:r>
        <w:t xml:space="preserve">Ensure proper ventilation in the workspace, especially when working with soldering irons or chemicals.</w:t>
      </w:r>
    </w:p>
    <w:bookmarkEnd w:id="24"/>
    <w:bookmarkStart w:id="25" w:name="electrical-safety"/>
    <w:p>
      <w:pPr>
        <w:pStyle w:val="Heading3"/>
      </w:pPr>
      <w:r>
        <w:t xml:space="preserve">4.2 Electrical Safety</w:t>
      </w:r>
    </w:p>
    <w:p>
      <w:pPr>
        <w:numPr>
          <w:ilvl w:val="0"/>
          <w:numId w:val="1003"/>
        </w:numPr>
        <w:pStyle w:val="Compact"/>
      </w:pPr>
      <w:r>
        <w:t xml:space="preserve">Use only certified electrical equipment and tools.</w:t>
      </w:r>
    </w:p>
    <w:p>
      <w:pPr>
        <w:numPr>
          <w:ilvl w:val="0"/>
          <w:numId w:val="1003"/>
        </w:numPr>
        <w:pStyle w:val="Compact"/>
      </w:pPr>
      <w:r>
        <w:t xml:space="preserve">Ensure all power supplies are properly grounded.</w:t>
      </w:r>
    </w:p>
    <w:p>
      <w:pPr>
        <w:numPr>
          <w:ilvl w:val="0"/>
          <w:numId w:val="1003"/>
        </w:numPr>
        <w:pStyle w:val="Compact"/>
      </w:pPr>
      <w:r>
        <w:t xml:space="preserve">Use surge protectors and uninterruptible power supplies (UPS) to mitigate power fluctuations common in Kathmandu.</w:t>
      </w:r>
    </w:p>
    <w:p>
      <w:pPr>
        <w:numPr>
          <w:ilvl w:val="0"/>
          <w:numId w:val="1003"/>
        </w:numPr>
        <w:pStyle w:val="Compact"/>
      </w:pPr>
      <w:r>
        <w:t xml:space="preserve">Never work on live circuits without proper training and precautions.</w:t>
      </w:r>
    </w:p>
    <w:bookmarkEnd w:id="25"/>
    <w:bookmarkStart w:id="26" w:name="environmental-safety"/>
    <w:p>
      <w:pPr>
        <w:pStyle w:val="Heading3"/>
      </w:pPr>
      <w:r>
        <w:t xml:space="preserve">4.3 Environmental Safety</w:t>
      </w:r>
    </w:p>
    <w:p>
      <w:pPr>
        <w:numPr>
          <w:ilvl w:val="0"/>
          <w:numId w:val="1004"/>
        </w:numPr>
        <w:pStyle w:val="Compact"/>
      </w:pPr>
      <w:r>
        <w:t xml:space="preserve">Dispose of electronic waste and hazardous materials in accordance with local regulations.</w:t>
      </w:r>
    </w:p>
    <w:p>
      <w:pPr>
        <w:numPr>
          <w:ilvl w:val="0"/>
          <w:numId w:val="1004"/>
        </w:numPr>
        <w:pStyle w:val="Compact"/>
      </w:pPr>
      <w:r>
        <w:t xml:space="preserve">Minimize the use of toxic substances and opt for environmentally friendly alternatives whenever possible.</w:t>
      </w:r>
    </w:p>
    <w:bookmarkEnd w:id="26"/>
    <w:bookmarkEnd w:id="27"/>
    <w:bookmarkStart w:id="28" w:name="equipment-and-materials"/>
    <w:p>
      <w:pPr>
        <w:pStyle w:val="Heading2"/>
      </w:pPr>
      <w:r>
        <w:t xml:space="preserve">5. Equipment and Materials</w:t>
      </w:r>
    </w:p>
    <w:p>
      <w:pPr>
        <w:pStyle w:val="FirstParagraph"/>
      </w:pPr>
      <w:r>
        <w:t xml:space="preserve">All equipment and materials used in experiments must be of high quality and suitable for the specific application. The following are essential items for most electronics experiments: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Oscilloscope</w:t>
            </w:r>
          </w:p>
        </w:tc>
        <w:tc>
          <w:tcPr/>
          <w:p>
            <w:pPr>
              <w:pStyle w:val="Compact"/>
              <w:jc w:val="left"/>
            </w:pPr>
            <w:r>
              <w:t xml:space="preserve">For measuring voltage and signal waveforms.</w:t>
            </w:r>
          </w:p>
        </w:tc>
      </w:tr>
      <w:tr>
        <w:tc>
          <w:tcPr/>
          <w:p>
            <w:pPr>
              <w:pStyle w:val="Compact"/>
              <w:jc w:val="left"/>
            </w:pPr>
            <w:r>
              <w:t xml:space="preserve">Multimeter</w:t>
            </w:r>
          </w:p>
        </w:tc>
        <w:tc>
          <w:tcPr/>
          <w:p>
            <w:pPr>
              <w:pStyle w:val="Compact"/>
              <w:jc w:val="left"/>
            </w:pPr>
            <w:r>
              <w:t xml:space="preserve">For measuring voltage, current, and resistance.</w:t>
            </w:r>
          </w:p>
        </w:tc>
      </w:tr>
      <w:tr>
        <w:tc>
          <w:tcPr/>
          <w:p>
            <w:pPr>
              <w:pStyle w:val="Compact"/>
              <w:jc w:val="left"/>
            </w:pPr>
            <w:r>
              <w:t xml:space="preserve">Soldering Iron</w:t>
            </w:r>
          </w:p>
        </w:tc>
        <w:tc>
          <w:tcPr/>
          <w:p>
            <w:pPr>
              <w:pStyle w:val="Compact"/>
              <w:jc w:val="left"/>
            </w:pPr>
            <w:r>
              <w:t xml:space="preserve">For assembling and repairing electronic circuits.</w:t>
            </w:r>
          </w:p>
        </w:tc>
      </w:tr>
      <w:tr>
        <w:tc>
          <w:tcPr/>
          <w:p>
            <w:pPr>
              <w:pStyle w:val="Compact"/>
              <w:jc w:val="left"/>
            </w:pPr>
            <w:r>
              <w:t xml:space="preserve">Power Supply</w:t>
            </w:r>
          </w:p>
        </w:tc>
        <w:tc>
          <w:tcPr/>
          <w:p>
            <w:pPr>
              <w:pStyle w:val="Compact"/>
              <w:jc w:val="left"/>
            </w:pPr>
            <w:r>
              <w:t xml:space="preserve">For providing stable voltage and current to circuits.</w:t>
            </w:r>
          </w:p>
        </w:tc>
      </w:tr>
      <w:tr>
        <w:tc>
          <w:tcPr/>
          <w:p>
            <w:pPr>
              <w:pStyle w:val="Compact"/>
              <w:jc w:val="left"/>
            </w:pPr>
            <w:r>
              <w:t xml:space="preserve">Breadboard</w:t>
            </w:r>
          </w:p>
        </w:tc>
        <w:tc>
          <w:tcPr/>
          <w:p>
            <w:pPr>
              <w:pStyle w:val="Compact"/>
              <w:jc w:val="left"/>
            </w:pPr>
            <w:r>
              <w:t xml:space="preserve">For prototyping circuits without soldering.</w:t>
            </w:r>
          </w:p>
        </w:tc>
      </w:tr>
    </w:tbl>
    <w:p>
      <w:pPr>
        <w:pStyle w:val="BodyText"/>
      </w:pPr>
      <w:r>
        <w:t xml:space="preserve">Ensure that all equipment is regularly calibrated and maintained to ensure accuracy and reliability.</w:t>
      </w:r>
    </w:p>
    <w:bookmarkEnd w:id="28"/>
    <w:bookmarkStart w:id="32" w:name="experimental-procedures"/>
    <w:p>
      <w:pPr>
        <w:pStyle w:val="Heading2"/>
      </w:pPr>
      <w:r>
        <w:t xml:space="preserve">6. Experimental Procedures</w:t>
      </w:r>
    </w:p>
    <w:bookmarkStart w:id="29" w:name="pre-experiment-preparation"/>
    <w:p>
      <w:pPr>
        <w:pStyle w:val="Heading3"/>
      </w:pPr>
      <w:r>
        <w:t xml:space="preserve">6.1 Pre-Experiment Preparation</w:t>
      </w:r>
    </w:p>
    <w:p>
      <w:pPr>
        <w:numPr>
          <w:ilvl w:val="0"/>
          <w:numId w:val="1005"/>
        </w:numPr>
        <w:pStyle w:val="Compact"/>
      </w:pPr>
      <w:r>
        <w:t xml:space="preserve">Review the experiment objectives and procedures thoroughly.</w:t>
      </w:r>
    </w:p>
    <w:p>
      <w:pPr>
        <w:numPr>
          <w:ilvl w:val="0"/>
          <w:numId w:val="1005"/>
        </w:numPr>
        <w:pStyle w:val="Compact"/>
      </w:pPr>
      <w:r>
        <w:t xml:space="preserve">Check all equipment and materials for functionality and safety.</w:t>
      </w:r>
    </w:p>
    <w:p>
      <w:pPr>
        <w:numPr>
          <w:ilvl w:val="0"/>
          <w:numId w:val="1005"/>
        </w:numPr>
        <w:pStyle w:val="Compact"/>
      </w:pPr>
      <w:r>
        <w:t xml:space="preserve">Ensure the workspace is clean, organized, and free of hazards.</w:t>
      </w:r>
    </w:p>
    <w:bookmarkEnd w:id="29"/>
    <w:bookmarkStart w:id="30" w:name="during-the-experiment"/>
    <w:p>
      <w:pPr>
        <w:pStyle w:val="Heading3"/>
      </w:pPr>
      <w:r>
        <w:t xml:space="preserve">6.2 During the Experiment</w:t>
      </w:r>
    </w:p>
    <w:p>
      <w:pPr>
        <w:numPr>
          <w:ilvl w:val="0"/>
          <w:numId w:val="1006"/>
        </w:numPr>
        <w:pStyle w:val="Compact"/>
      </w:pPr>
      <w:r>
        <w:t xml:space="preserve">Follow the experimental procedures step-by-step.</w:t>
      </w:r>
    </w:p>
    <w:p>
      <w:pPr>
        <w:numPr>
          <w:ilvl w:val="0"/>
          <w:numId w:val="1006"/>
        </w:numPr>
        <w:pStyle w:val="Compact"/>
      </w:pPr>
      <w:r>
        <w:t xml:space="preserve">Record all observations and data accurately.</w:t>
      </w:r>
    </w:p>
    <w:p>
      <w:pPr>
        <w:numPr>
          <w:ilvl w:val="0"/>
          <w:numId w:val="1006"/>
        </w:numPr>
        <w:pStyle w:val="Compact"/>
      </w:pPr>
      <w:r>
        <w:t xml:space="preserve">Monitor equipment and circuits for any signs of malfunction or overheating.</w:t>
      </w:r>
    </w:p>
    <w:bookmarkEnd w:id="30"/>
    <w:bookmarkStart w:id="31" w:name="post-experiment-procedures"/>
    <w:p>
      <w:pPr>
        <w:pStyle w:val="Heading3"/>
      </w:pPr>
      <w:r>
        <w:t xml:space="preserve">6.3 Post-Experiment Procedures</w:t>
      </w:r>
    </w:p>
    <w:p>
      <w:pPr>
        <w:numPr>
          <w:ilvl w:val="0"/>
          <w:numId w:val="1007"/>
        </w:numPr>
        <w:pStyle w:val="Compact"/>
      </w:pPr>
      <w:r>
        <w:t xml:space="preserve">Power down all equipment and disconnect power sources.</w:t>
      </w:r>
    </w:p>
    <w:p>
      <w:pPr>
        <w:numPr>
          <w:ilvl w:val="0"/>
          <w:numId w:val="1007"/>
        </w:numPr>
        <w:pStyle w:val="Compact"/>
      </w:pPr>
      <w:r>
        <w:t xml:space="preserve">Clean and organize the workspace.</w:t>
      </w:r>
    </w:p>
    <w:p>
      <w:pPr>
        <w:numPr>
          <w:ilvl w:val="0"/>
          <w:numId w:val="1007"/>
        </w:numPr>
        <w:pStyle w:val="Compact"/>
      </w:pPr>
      <w:r>
        <w:t xml:space="preserve">Analyze the data and document the results.</w:t>
      </w:r>
    </w:p>
    <w:bookmarkEnd w:id="31"/>
    <w:bookmarkEnd w:id="32"/>
    <w:bookmarkStart w:id="33" w:name="data-collection-and-analysis"/>
    <w:p>
      <w:pPr>
        <w:pStyle w:val="Heading2"/>
      </w:pPr>
      <w:r>
        <w:t xml:space="preserve">7. Data Collection and Analysis</w:t>
      </w:r>
    </w:p>
    <w:p>
      <w:pPr>
        <w:pStyle w:val="FirstParagraph"/>
      </w:pPr>
      <w:r>
        <w:t xml:space="preserve">Accurate data collection and analysis are critical for the success of any electronics experiment. The following guidelines should be followed:</w:t>
      </w:r>
    </w:p>
    <w:p>
      <w:pPr>
        <w:numPr>
          <w:ilvl w:val="0"/>
          <w:numId w:val="1008"/>
        </w:numPr>
        <w:pStyle w:val="Compact"/>
      </w:pPr>
      <w:r>
        <w:t xml:space="preserve">Use calibrated instruments for all measurements.</w:t>
      </w:r>
    </w:p>
    <w:p>
      <w:pPr>
        <w:numPr>
          <w:ilvl w:val="0"/>
          <w:numId w:val="1008"/>
        </w:numPr>
        <w:pStyle w:val="Compact"/>
      </w:pPr>
      <w:r>
        <w:t xml:space="preserve">Record data in a structured format, including units and timestamps.</w:t>
      </w:r>
    </w:p>
    <w:p>
      <w:pPr>
        <w:numPr>
          <w:ilvl w:val="0"/>
          <w:numId w:val="1008"/>
        </w:numPr>
        <w:pStyle w:val="Compact"/>
      </w:pPr>
      <w:r>
        <w:t xml:space="preserve">Perform multiple trials to ensure the reliability of the results.</w:t>
      </w:r>
    </w:p>
    <w:p>
      <w:pPr>
        <w:numPr>
          <w:ilvl w:val="0"/>
          <w:numId w:val="1008"/>
        </w:numPr>
        <w:pStyle w:val="Compact"/>
      </w:pPr>
      <w:r>
        <w:t xml:space="preserve">Analyze data using appropriate statistical methods.</w:t>
      </w:r>
    </w:p>
    <w:bookmarkEnd w:id="33"/>
    <w:bookmarkStart w:id="34" w:name="reporting"/>
    <w:p>
      <w:pPr>
        <w:pStyle w:val="Heading2"/>
      </w:pPr>
      <w:r>
        <w:t xml:space="preserve">8. Reporting</w:t>
      </w:r>
    </w:p>
    <w:p>
      <w:pPr>
        <w:pStyle w:val="FirstParagraph"/>
      </w:pPr>
      <w:r>
        <w:t xml:space="preserve">All experiments must be documented in a detailed report. The report should include the following sections:</w:t>
      </w:r>
    </w:p>
    <w:p>
      <w:pPr>
        <w:numPr>
          <w:ilvl w:val="0"/>
          <w:numId w:val="1009"/>
        </w:numPr>
        <w:pStyle w:val="Compact"/>
      </w:pPr>
      <w:r>
        <w:t xml:space="preserve">Introduction and objectives.</w:t>
      </w:r>
    </w:p>
    <w:p>
      <w:pPr>
        <w:numPr>
          <w:ilvl w:val="0"/>
          <w:numId w:val="1009"/>
        </w:numPr>
        <w:pStyle w:val="Compact"/>
      </w:pPr>
      <w:r>
        <w:t xml:space="preserve">Methodology and procedures.</w:t>
      </w:r>
    </w:p>
    <w:p>
      <w:pPr>
        <w:numPr>
          <w:ilvl w:val="0"/>
          <w:numId w:val="1009"/>
        </w:numPr>
        <w:pStyle w:val="Compact"/>
      </w:pPr>
      <w:r>
        <w:t xml:space="preserve">Data and results.</w:t>
      </w:r>
    </w:p>
    <w:p>
      <w:pPr>
        <w:numPr>
          <w:ilvl w:val="0"/>
          <w:numId w:val="1009"/>
        </w:numPr>
        <w:pStyle w:val="Compact"/>
      </w:pPr>
      <w:r>
        <w:t xml:space="preserve">Analysis and discussion.</w:t>
      </w:r>
    </w:p>
    <w:p>
      <w:pPr>
        <w:numPr>
          <w:ilvl w:val="0"/>
          <w:numId w:val="1009"/>
        </w:numPr>
        <w:pStyle w:val="Compact"/>
      </w:pPr>
      <w:r>
        <w:t xml:space="preserve">Conclusion and recommendations.</w:t>
      </w:r>
    </w:p>
    <w:p>
      <w:pPr>
        <w:pStyle w:val="FirstParagraph"/>
      </w:pPr>
      <w:r>
        <w:t xml:space="preserve">Reports should be clear, concise, and free of errors. They should be submitted to the relevant authority or supervisor within the specified timeframe.</w:t>
      </w:r>
    </w:p>
    <w:bookmarkEnd w:id="34"/>
    <w:bookmarkStart w:id="35" w:name="local-considerations-for-kathmandu"/>
    <w:p>
      <w:pPr>
        <w:pStyle w:val="Heading2"/>
      </w:pPr>
      <w:r>
        <w:t xml:space="preserve">9. Local Considerations for Kathmandu</w:t>
      </w:r>
    </w:p>
    <w:p>
      <w:pPr>
        <w:pStyle w:val="FirstParagraph"/>
      </w:pPr>
      <w:r>
        <w:t xml:space="preserve">When conducting experiments in Kathmandu, the following local factors should be considered:</w:t>
      </w:r>
    </w:p>
    <w:p>
      <w:pPr>
        <w:numPr>
          <w:ilvl w:val="0"/>
          <w:numId w:val="1010"/>
        </w:numPr>
        <w:pStyle w:val="Compact"/>
      </w:pPr>
      <w:r>
        <w:rPr>
          <w:bCs/>
          <w:b/>
        </w:rPr>
        <w:t xml:space="preserve">Power Supply:</w:t>
      </w:r>
      <w:r>
        <w:t xml:space="preserve"> </w:t>
      </w:r>
      <w:r>
        <w:t xml:space="preserve">Use UPS and voltage stabilizers to protect equipment from power fluctuations.</w:t>
      </w:r>
    </w:p>
    <w:p>
      <w:pPr>
        <w:numPr>
          <w:ilvl w:val="0"/>
          <w:numId w:val="1010"/>
        </w:numPr>
        <w:pStyle w:val="Compact"/>
      </w:pPr>
      <w:r>
        <w:rPr>
          <w:bCs/>
          <w:b/>
        </w:rPr>
        <w:t xml:space="preserve">Humidity:</w:t>
      </w:r>
      <w:r>
        <w:t xml:space="preserve"> </w:t>
      </w:r>
      <w:r>
        <w:t xml:space="preserve">Store sensitive electronic components in dry, climate-controlled environments to prevent damage from moisture.</w:t>
      </w:r>
    </w:p>
    <w:p>
      <w:pPr>
        <w:numPr>
          <w:ilvl w:val="0"/>
          <w:numId w:val="1010"/>
        </w:numPr>
        <w:pStyle w:val="Compact"/>
      </w:pPr>
      <w:r>
        <w:rPr>
          <w:bCs/>
          <w:b/>
        </w:rPr>
        <w:t xml:space="preserve">Seismic Activity:</w:t>
      </w:r>
      <w:r>
        <w:t xml:space="preserve"> </w:t>
      </w:r>
      <w:r>
        <w:t xml:space="preserve">Secure equipment and workstations to prevent damage during earthquakes.</w:t>
      </w:r>
    </w:p>
    <w:p>
      <w:pPr>
        <w:numPr>
          <w:ilvl w:val="0"/>
          <w:numId w:val="1010"/>
        </w:numPr>
        <w:pStyle w:val="Compact"/>
      </w:pPr>
      <w:r>
        <w:rPr>
          <w:bCs/>
          <w:b/>
        </w:rPr>
        <w:t xml:space="preserve">Regulations:</w:t>
      </w:r>
      <w:r>
        <w:t xml:space="preserve"> </w:t>
      </w:r>
      <w:r>
        <w:t xml:space="preserve">Comply with local regulations regarding electronic waste disposal and safety standards.</w:t>
      </w:r>
    </w:p>
    <w:bookmarkEnd w:id="35"/>
    <w:bookmarkStart w:id="36" w:name="conclusion"/>
    <w:p>
      <w:pPr>
        <w:pStyle w:val="Heading2"/>
      </w:pPr>
      <w:r>
        <w:t xml:space="preserve">10. Conclusion</w:t>
      </w:r>
    </w:p>
    <w:p>
      <w:pPr>
        <w:pStyle w:val="FirstParagraph"/>
      </w:pPr>
      <w:r>
        <w:t xml:space="preserve">This Experiment Protocol provides a comprehensive framework for conducting electronics experiments in Kathmandu, Nepal. By adhering to these guidelines, Electronics Engineers can ensure the safety, reliability, and success of their experiments while accounting for local environmental and infrastructural conditions. Regular reviews and updates to this protocol are recommended to incorporate new technologies and best practices.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in Nepal Kathmandu</dc:title>
  <dc:creator/>
  <dc:language>en</dc:language>
  <cp:keywords/>
  <dcterms:created xsi:type="dcterms:W3CDTF">2026-10-10T01:42:15Z</dcterms:created>
  <dcterms:modified xsi:type="dcterms:W3CDTF">2026-10-10T01:42:15Z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