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Wellington</w:t>
      </w:r>
    </w:p>
    <w:bookmarkStart w:id="35" w:name="experiment-protocol-electronics-engineer"/>
    <w:p>
      <w:pPr>
        <w:pStyle w:val="Heading1"/>
      </w:pPr>
      <w:r>
        <w:t xml:space="preserve">Experiment Protocol: Electronics Engineer</w:t>
      </w:r>
    </w:p>
    <w:p>
      <w:pPr>
        <w:pStyle w:val="FirstParagraph"/>
      </w:pPr>
      <w:r>
        <w:rPr>
          <w:bCs/>
          <w:b/>
        </w:rPr>
        <w:t xml:space="preserve">Location:</w:t>
      </w:r>
      <w:r>
        <w:t xml:space="preserve"> </w:t>
      </w:r>
      <w:r>
        <w:t xml:space="preserve">New Zealand Wellington</w:t>
      </w:r>
    </w:p>
    <w:p>
      <w:pPr>
        <w:pStyle w:val="BodyText"/>
      </w:pPr>
      <w:r>
        <w:rPr>
          <w:bCs/>
          <w:b/>
        </w:rPr>
        <w:t xml:space="preserve">Role:</w:t>
      </w:r>
      <w:r>
        <w:t xml:space="preserve"> </w:t>
      </w:r>
      <w:r>
        <w:t xml:space="preserve">Electronics Engineer</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Compliance:</w:t>
      </w:r>
      <w:r>
        <w:t xml:space="preserve"> </w:t>
      </w:r>
      <w:r>
        <w:t xml:space="preserve">New Zealand Electrical Safety Regulations, AS/NZS Standards</w:t>
      </w:r>
    </w:p>
    <w:bookmarkStart w:id="20" w:name="introduction-and-purpose"/>
    <w:p>
      <w:pPr>
        <w:pStyle w:val="Heading2"/>
      </w:pPr>
      <w:r>
        <w:t xml:space="preserve">1. Introduction and Purpose</w:t>
      </w:r>
    </w:p>
    <w:p>
      <w:pPr>
        <w:pStyle w:val="FirstParagraph"/>
      </w:pPr>
      <w:r>
        <w:t xml:space="preserve">This Experiment Protocol outlines the standardized procedures, safety requirements, and technical guidelines for conducting electronic experiments and testing within the Wellington region of New Zealand. It is designed specifically for Electronics Engineers operating in research, development, or industrial testing environments. The primary purpose of this document is to ensure that all experimental activities are conducted safely, ethically, and in compliance with local regulations, including those set by WorkSafe New Zealand and the Electrical Safety Council.</w:t>
      </w:r>
    </w:p>
    <w:p>
      <w:pPr>
        <w:pStyle w:val="BodyText"/>
      </w:pPr>
      <w:r>
        <w:t xml:space="preserve">Given Wellington’s unique environmental conditions—such as high humidity, coastal salt exposure, and seismic activity—this protocol incorporates specific considerations for equipment durability, environmental testing, and site safety. Adherence to this protocol is mandatory for all Electronics Engineers and supporting personnel involved in experimental work.</w:t>
      </w:r>
    </w:p>
    <w:bookmarkEnd w:id="20"/>
    <w:bookmarkStart w:id="21" w:name="scope"/>
    <w:p>
      <w:pPr>
        <w:pStyle w:val="Heading2"/>
      </w:pPr>
      <w:r>
        <w:t xml:space="preserve">2. Scope</w:t>
      </w:r>
    </w:p>
    <w:p>
      <w:pPr>
        <w:pStyle w:val="FirstParagraph"/>
      </w:pPr>
      <w:r>
        <w:t xml:space="preserve">This protocol applies to all electronic experiments conducted by Electronics Engineers in Wellington, including but not limited to:</w:t>
      </w:r>
    </w:p>
    <w:p>
      <w:pPr>
        <w:numPr>
          <w:ilvl w:val="0"/>
          <w:numId w:val="1001"/>
        </w:numPr>
        <w:pStyle w:val="Compact"/>
      </w:pPr>
      <w:r>
        <w:t xml:space="preserve">Circuit design validation and prototyping</w:t>
      </w:r>
    </w:p>
    <w:p>
      <w:pPr>
        <w:numPr>
          <w:ilvl w:val="0"/>
          <w:numId w:val="1001"/>
        </w:numPr>
        <w:pStyle w:val="Compact"/>
      </w:pPr>
      <w:r>
        <w:t xml:space="preserve">Electromagnetic compatibility (EMC) testing</w:t>
      </w:r>
    </w:p>
    <w:p>
      <w:pPr>
        <w:numPr>
          <w:ilvl w:val="0"/>
          <w:numId w:val="1001"/>
        </w:numPr>
        <w:pStyle w:val="Compact"/>
      </w:pPr>
      <w:r>
        <w:t xml:space="preserve">Environmental stress testing (temperature, humidity, vibration)</w:t>
      </w:r>
    </w:p>
    <w:p>
      <w:pPr>
        <w:numPr>
          <w:ilvl w:val="0"/>
          <w:numId w:val="1001"/>
        </w:numPr>
        <w:pStyle w:val="Compact"/>
      </w:pPr>
      <w:r>
        <w:t xml:space="preserve">Power system and battery performance evaluation</w:t>
      </w:r>
    </w:p>
    <w:p>
      <w:pPr>
        <w:numPr>
          <w:ilvl w:val="0"/>
          <w:numId w:val="1001"/>
        </w:numPr>
        <w:pStyle w:val="Compact"/>
      </w:pPr>
      <w:r>
        <w:t xml:space="preserve">Embedded systems and IoT device testing</w:t>
      </w:r>
    </w:p>
    <w:p>
      <w:pPr>
        <w:pStyle w:val="FirstParagraph"/>
      </w:pPr>
      <w:r>
        <w:t xml:space="preserve">All activities must comply with New Zealand’s Electrical Safety Regulations 2010, AS/NZS 3000 (Wiring Rules), and relevant AS/NZS standards for electronic equipment.</w:t>
      </w:r>
    </w:p>
    <w:bookmarkEnd w:id="21"/>
    <w:bookmarkStart w:id="25" w:name="roles-and-responsibilities"/>
    <w:p>
      <w:pPr>
        <w:pStyle w:val="Heading2"/>
      </w:pPr>
      <w:r>
        <w:t xml:space="preserve">3. Roles and Responsibilities</w:t>
      </w:r>
    </w:p>
    <w:bookmarkStart w:id="22" w:name="electronics-engineer"/>
    <w:p>
      <w:pPr>
        <w:pStyle w:val="Heading3"/>
      </w:pPr>
      <w:r>
        <w:t xml:space="preserve">3.1 Electronics Engineer</w:t>
      </w:r>
    </w:p>
    <w:p>
      <w:pPr>
        <w:pStyle w:val="FirstParagraph"/>
      </w:pPr>
      <w:r>
        <w:t xml:space="preserve">The Electronics Engineer is responsible for:</w:t>
      </w:r>
    </w:p>
    <w:p>
      <w:pPr>
        <w:numPr>
          <w:ilvl w:val="0"/>
          <w:numId w:val="1002"/>
        </w:numPr>
        <w:pStyle w:val="Compact"/>
      </w:pPr>
      <w:r>
        <w:t xml:space="preserve">Designing and documenting the experimental procedure</w:t>
      </w:r>
    </w:p>
    <w:p>
      <w:pPr>
        <w:numPr>
          <w:ilvl w:val="0"/>
          <w:numId w:val="1002"/>
        </w:numPr>
        <w:pStyle w:val="Compact"/>
      </w:pPr>
      <w:r>
        <w:t xml:space="preserve">Ensuring all equipment is calibrated and certified</w:t>
      </w:r>
    </w:p>
    <w:p>
      <w:pPr>
        <w:numPr>
          <w:ilvl w:val="0"/>
          <w:numId w:val="1002"/>
        </w:numPr>
        <w:pStyle w:val="Compact"/>
      </w:pPr>
      <w:r>
        <w:t xml:space="preserve">Conducting risk assessments prior to experimentation</w:t>
      </w:r>
    </w:p>
    <w:p>
      <w:pPr>
        <w:numPr>
          <w:ilvl w:val="0"/>
          <w:numId w:val="1002"/>
        </w:numPr>
        <w:pStyle w:val="Compact"/>
      </w:pPr>
      <w:r>
        <w:t xml:space="preserve">Implementing safety measures and emergency procedures</w:t>
      </w:r>
    </w:p>
    <w:p>
      <w:pPr>
        <w:numPr>
          <w:ilvl w:val="0"/>
          <w:numId w:val="1002"/>
        </w:numPr>
        <w:pStyle w:val="Compact"/>
      </w:pPr>
      <w:r>
        <w:t xml:space="preserve">Recording and reporting results accurately</w:t>
      </w:r>
    </w:p>
    <w:bookmarkEnd w:id="22"/>
    <w:bookmarkStart w:id="23" w:name="safety-officer"/>
    <w:p>
      <w:pPr>
        <w:pStyle w:val="Heading3"/>
      </w:pPr>
      <w:r>
        <w:t xml:space="preserve">3.2 Safety Officer</w:t>
      </w:r>
    </w:p>
    <w:p>
      <w:pPr>
        <w:pStyle w:val="FirstParagraph"/>
      </w:pPr>
      <w:r>
        <w:t xml:space="preserve">The Safety Officer ensures compliance with WorkSafe New Zealand guidelines and conducts regular inspections of the experimental setup.</w:t>
      </w:r>
    </w:p>
    <w:bookmarkEnd w:id="23"/>
    <w:bookmarkStart w:id="24" w:name="laboratory-manager"/>
    <w:p>
      <w:pPr>
        <w:pStyle w:val="Heading3"/>
      </w:pPr>
      <w:r>
        <w:t xml:space="preserve">3.3 Laboratory Manager</w:t>
      </w:r>
    </w:p>
    <w:p>
      <w:pPr>
        <w:pStyle w:val="FirstParagraph"/>
      </w:pPr>
      <w:r>
        <w:t xml:space="preserve">The Laboratory Manager oversees resource allocation, equipment maintenance, and ensures that the facility meets Wellington City Council and national safety standards.</w:t>
      </w:r>
    </w:p>
    <w:bookmarkEnd w:id="24"/>
    <w:bookmarkEnd w:id="25"/>
    <w:bookmarkStart w:id="26" w:name="safety-requirements"/>
    <w:p>
      <w:pPr>
        <w:pStyle w:val="Heading2"/>
      </w:pPr>
      <w:r>
        <w:t xml:space="preserve">4. Safety Requirements</w:t>
      </w:r>
    </w:p>
    <w:p>
      <w:pPr>
        <w:pStyle w:val="FirstParagraph"/>
      </w:pPr>
      <w:r>
        <w:t xml:space="preserve">Safety is the highest priority in all experimental activities. The following measures must be strictly followed:</w:t>
      </w:r>
    </w:p>
    <w:p>
      <w:pPr>
        <w:numPr>
          <w:ilvl w:val="0"/>
          <w:numId w:val="1003"/>
        </w:numPr>
        <w:pStyle w:val="Compact"/>
      </w:pPr>
      <w:r>
        <w:rPr>
          <w:bCs/>
          <w:b/>
        </w:rPr>
        <w:t xml:space="preserve">Personal Protective Equipment (PPE):</w:t>
      </w:r>
      <w:r>
        <w:t xml:space="preserve"> </w:t>
      </w:r>
      <w:r>
        <w:t xml:space="preserve">All personnel must wear appropriate PPE, including safety glasses, insulated gloves, and anti-static footwear.</w:t>
      </w:r>
    </w:p>
    <w:p>
      <w:pPr>
        <w:numPr>
          <w:ilvl w:val="0"/>
          <w:numId w:val="1003"/>
        </w:numPr>
        <w:pStyle w:val="Compact"/>
      </w:pPr>
      <w:r>
        <w:rPr>
          <w:bCs/>
          <w:b/>
        </w:rPr>
        <w:t xml:space="preserve">Electrical Safety:</w:t>
      </w:r>
      <w:r>
        <w:t xml:space="preserve"> </w:t>
      </w:r>
      <w:r>
        <w:t xml:space="preserve">All circuits must be de-energized before modification. Lockout/tagout procedures must be followed.</w:t>
      </w:r>
    </w:p>
    <w:p>
      <w:pPr>
        <w:numPr>
          <w:ilvl w:val="0"/>
          <w:numId w:val="1003"/>
        </w:numPr>
        <w:pStyle w:val="Compact"/>
      </w:pPr>
      <w:r>
        <w:rPr>
          <w:bCs/>
          <w:b/>
        </w:rPr>
        <w:t xml:space="preserve">Fire Safety:</w:t>
      </w:r>
      <w:r>
        <w:t xml:space="preserve"> </w:t>
      </w:r>
      <w:r>
        <w:t xml:space="preserve">Fire extinguishers (Class C for electrical fires) must be accessible. Flammable materials must be stored safely.</w:t>
      </w:r>
    </w:p>
    <w:p>
      <w:pPr>
        <w:numPr>
          <w:ilvl w:val="0"/>
          <w:numId w:val="1003"/>
        </w:numPr>
        <w:pStyle w:val="Compact"/>
      </w:pPr>
      <w:r>
        <w:rPr>
          <w:bCs/>
          <w:b/>
        </w:rPr>
        <w:t xml:space="preserve">Emergency Procedures:</w:t>
      </w:r>
      <w:r>
        <w:t xml:space="preserve"> </w:t>
      </w:r>
      <w:r>
        <w:t xml:space="preserve">All personnel must be familiar with emergency shutdown procedures, evacuation routes, and first aid protocols.</w:t>
      </w:r>
    </w:p>
    <w:p>
      <w:pPr>
        <w:numPr>
          <w:ilvl w:val="0"/>
          <w:numId w:val="1003"/>
        </w:numPr>
        <w:pStyle w:val="Compact"/>
      </w:pPr>
      <w:r>
        <w:rPr>
          <w:bCs/>
          <w:b/>
        </w:rPr>
        <w:t xml:space="preserve">Seismic Precautions:</w:t>
      </w:r>
      <w:r>
        <w:t xml:space="preserve"> </w:t>
      </w:r>
      <w:r>
        <w:t xml:space="preserve">Given Wellington’s seismic risk, equipment must be securely mounted, and emergency power disconnection systems must be functional.</w:t>
      </w:r>
    </w:p>
    <w:bookmarkEnd w:id="26"/>
    <w:bookmarkStart w:id="30" w:name="experimental-procedure"/>
    <w:p>
      <w:pPr>
        <w:pStyle w:val="Heading2"/>
      </w:pPr>
      <w:r>
        <w:t xml:space="preserve">5. Experimental Procedure</w:t>
      </w:r>
    </w:p>
    <w:bookmarkStart w:id="27" w:name="pre-experiment-preparation"/>
    <w:p>
      <w:pPr>
        <w:pStyle w:val="Heading3"/>
      </w:pPr>
      <w:r>
        <w:t xml:space="preserve">5.1 Pre-Experiment Preparation</w:t>
      </w:r>
    </w:p>
    <w:p>
      <w:pPr>
        <w:numPr>
          <w:ilvl w:val="0"/>
          <w:numId w:val="1004"/>
        </w:numPr>
        <w:pStyle w:val="Compact"/>
      </w:pPr>
      <w:r>
        <w:t xml:space="preserve">Define the objective and scope of the experiment.</w:t>
      </w:r>
    </w:p>
    <w:p>
      <w:pPr>
        <w:numPr>
          <w:ilvl w:val="0"/>
          <w:numId w:val="1004"/>
        </w:numPr>
        <w:pStyle w:val="Compact"/>
      </w:pPr>
      <w:r>
        <w:t xml:space="preserve">Conduct a risk assessment and document potential hazards.</w:t>
      </w:r>
    </w:p>
    <w:p>
      <w:pPr>
        <w:numPr>
          <w:ilvl w:val="0"/>
          <w:numId w:val="1004"/>
        </w:numPr>
        <w:pStyle w:val="Compact"/>
      </w:pPr>
      <w:r>
        <w:t xml:space="preserve">Verify that all equipment is calibrated and within certification dates.</w:t>
      </w:r>
    </w:p>
    <w:p>
      <w:pPr>
        <w:numPr>
          <w:ilvl w:val="0"/>
          <w:numId w:val="1004"/>
        </w:numPr>
        <w:pStyle w:val="Compact"/>
      </w:pPr>
      <w:r>
        <w:t xml:space="preserve">Ensure the test environment meets required conditions (temperature, humidity, EMI shielding).</w:t>
      </w:r>
    </w:p>
    <w:p>
      <w:pPr>
        <w:numPr>
          <w:ilvl w:val="0"/>
          <w:numId w:val="1004"/>
        </w:numPr>
        <w:pStyle w:val="Compact"/>
      </w:pPr>
      <w:r>
        <w:t xml:space="preserve">Brief all personnel on the procedure and safety measures.</w:t>
      </w:r>
    </w:p>
    <w:bookmarkEnd w:id="27"/>
    <w:bookmarkStart w:id="28" w:name="execution"/>
    <w:p>
      <w:pPr>
        <w:pStyle w:val="Heading3"/>
      </w:pPr>
      <w:r>
        <w:t xml:space="preserve">5.2 Execution</w:t>
      </w:r>
    </w:p>
    <w:p>
      <w:pPr>
        <w:numPr>
          <w:ilvl w:val="0"/>
          <w:numId w:val="1005"/>
        </w:numPr>
        <w:pStyle w:val="Compact"/>
      </w:pPr>
      <w:r>
        <w:t xml:space="preserve">Assemble the circuit or system according to the design specifications.</w:t>
      </w:r>
    </w:p>
    <w:p>
      <w:pPr>
        <w:numPr>
          <w:ilvl w:val="0"/>
          <w:numId w:val="1005"/>
        </w:numPr>
        <w:pStyle w:val="Compact"/>
      </w:pPr>
      <w:r>
        <w:t xml:space="preserve">Perform initial checks for continuity, insulation resistance, and correct polarity.</w:t>
      </w:r>
    </w:p>
    <w:p>
      <w:pPr>
        <w:numPr>
          <w:ilvl w:val="0"/>
          <w:numId w:val="1005"/>
        </w:numPr>
        <w:pStyle w:val="Compact"/>
      </w:pPr>
      <w:r>
        <w:t xml:space="preserve">Gradually apply power while monitoring for anomalies.</w:t>
      </w:r>
    </w:p>
    <w:p>
      <w:pPr>
        <w:numPr>
          <w:ilvl w:val="0"/>
          <w:numId w:val="1005"/>
        </w:numPr>
        <w:pStyle w:val="Compact"/>
      </w:pPr>
      <w:r>
        <w:t xml:space="preserve">Record all measurements using calibrated instruments.</w:t>
      </w:r>
    </w:p>
    <w:p>
      <w:pPr>
        <w:numPr>
          <w:ilvl w:val="0"/>
          <w:numId w:val="1005"/>
        </w:numPr>
        <w:pStyle w:val="Compact"/>
      </w:pPr>
      <w:r>
        <w:t xml:space="preserve">Document any deviations or unexpected behavior immediately.</w:t>
      </w:r>
    </w:p>
    <w:bookmarkEnd w:id="28"/>
    <w:bookmarkStart w:id="29" w:name="post-experiment"/>
    <w:p>
      <w:pPr>
        <w:pStyle w:val="Heading3"/>
      </w:pPr>
      <w:r>
        <w:t xml:space="preserve">5.3 Post-Experiment</w:t>
      </w:r>
    </w:p>
    <w:p>
      <w:pPr>
        <w:numPr>
          <w:ilvl w:val="0"/>
          <w:numId w:val="1006"/>
        </w:numPr>
        <w:pStyle w:val="Compact"/>
      </w:pPr>
      <w:r>
        <w:t xml:space="preserve">De-energize and discharge all circuits safely.</w:t>
      </w:r>
    </w:p>
    <w:p>
      <w:pPr>
        <w:numPr>
          <w:ilvl w:val="0"/>
          <w:numId w:val="1006"/>
        </w:numPr>
        <w:pStyle w:val="Compact"/>
      </w:pPr>
      <w:r>
        <w:t xml:space="preserve">Disconnect and store equipment properly.</w:t>
      </w:r>
    </w:p>
    <w:p>
      <w:pPr>
        <w:numPr>
          <w:ilvl w:val="0"/>
          <w:numId w:val="1006"/>
        </w:numPr>
        <w:pStyle w:val="Compact"/>
      </w:pPr>
      <w:r>
        <w:t xml:space="preserve">Analyze data and compare results with expected outcomes.</w:t>
      </w:r>
    </w:p>
    <w:p>
      <w:pPr>
        <w:numPr>
          <w:ilvl w:val="0"/>
          <w:numId w:val="1006"/>
        </w:numPr>
        <w:pStyle w:val="Compact"/>
      </w:pPr>
      <w:r>
        <w:t xml:space="preserve">Prepare a detailed report including methodology, results, and conclusions.</w:t>
      </w:r>
    </w:p>
    <w:p>
      <w:pPr>
        <w:numPr>
          <w:ilvl w:val="0"/>
          <w:numId w:val="1006"/>
        </w:numPr>
        <w:pStyle w:val="Compact"/>
      </w:pPr>
      <w:r>
        <w:t xml:space="preserve">Archive all records in accordance with New Zealand data retention standards.</w:t>
      </w:r>
    </w:p>
    <w:bookmarkEnd w:id="29"/>
    <w:bookmarkEnd w:id="30"/>
    <w:bookmarkStart w:id="31" w:name="X27006745776a0f673ee5db9fb5e4fdf400568f7"/>
    <w:p>
      <w:pPr>
        <w:pStyle w:val="Heading2"/>
      </w:pPr>
      <w:r>
        <w:t xml:space="preserve">6. Environmental Considerations for Wellington</w:t>
      </w:r>
    </w:p>
    <w:p>
      <w:pPr>
        <w:pStyle w:val="FirstParagraph"/>
      </w:pPr>
      <w:r>
        <w:t xml:space="preserve">Wellington’s coastal and windy environment requires special attention to:</w:t>
      </w:r>
    </w:p>
    <w:p>
      <w:pPr>
        <w:numPr>
          <w:ilvl w:val="0"/>
          <w:numId w:val="1007"/>
        </w:numPr>
        <w:pStyle w:val="Compact"/>
      </w:pPr>
      <w:r>
        <w:rPr>
          <w:bCs/>
          <w:b/>
        </w:rPr>
        <w:t xml:space="preserve">Corrosion Protection:</w:t>
      </w:r>
      <w:r>
        <w:t xml:space="preserve"> </w:t>
      </w:r>
      <w:r>
        <w:t xml:space="preserve">Use conformal coatings and corrosion-resistant materials for outdoor or coastal testing.</w:t>
      </w:r>
    </w:p>
    <w:p>
      <w:pPr>
        <w:numPr>
          <w:ilvl w:val="0"/>
          <w:numId w:val="1007"/>
        </w:numPr>
        <w:pStyle w:val="Compact"/>
      </w:pPr>
      <w:r>
        <w:rPr>
          <w:bCs/>
          <w:b/>
        </w:rPr>
        <w:t xml:space="preserve">Humidity Control:</w:t>
      </w:r>
      <w:r>
        <w:t xml:space="preserve"> </w:t>
      </w:r>
      <w:r>
        <w:t xml:space="preserve">Maintain controlled humidity levels in the lab to prevent condensation-related failures.</w:t>
      </w:r>
    </w:p>
    <w:p>
      <w:pPr>
        <w:numPr>
          <w:ilvl w:val="0"/>
          <w:numId w:val="1007"/>
        </w:numPr>
        <w:pStyle w:val="Compact"/>
      </w:pPr>
      <w:r>
        <w:rPr>
          <w:bCs/>
          <w:b/>
        </w:rPr>
        <w:t xml:space="preserve">Wind and Vibration:</w:t>
      </w:r>
      <w:r>
        <w:t xml:space="preserve"> </w:t>
      </w:r>
      <w:r>
        <w:t xml:space="preserve">Secure equipment against vibration and wind-induced stress during outdoor tests.</w:t>
      </w:r>
    </w:p>
    <w:bookmarkEnd w:id="31"/>
    <w:bookmarkStart w:id="32" w:name="documentation-and-reporting"/>
    <w:p>
      <w:pPr>
        <w:pStyle w:val="Heading2"/>
      </w:pPr>
      <w:r>
        <w:t xml:space="preserve">7. Documentation and Reporting</w:t>
      </w:r>
    </w:p>
    <w:p>
      <w:pPr>
        <w:pStyle w:val="FirstParagraph"/>
      </w:pPr>
      <w:r>
        <w:t xml:space="preserve">All experiments must be documented in a standardized format, including:</w:t>
      </w:r>
    </w:p>
    <w:p>
      <w:pPr>
        <w:numPr>
          <w:ilvl w:val="0"/>
          <w:numId w:val="1008"/>
        </w:numPr>
        <w:pStyle w:val="Compact"/>
      </w:pPr>
      <w:r>
        <w:t xml:space="preserve">Objective and hypothesis</w:t>
      </w:r>
    </w:p>
    <w:p>
      <w:pPr>
        <w:numPr>
          <w:ilvl w:val="0"/>
          <w:numId w:val="1008"/>
        </w:numPr>
        <w:pStyle w:val="Compact"/>
      </w:pPr>
      <w:r>
        <w:t xml:space="preserve">Equipment list with calibration certificates</w:t>
      </w:r>
    </w:p>
    <w:p>
      <w:pPr>
        <w:numPr>
          <w:ilvl w:val="0"/>
          <w:numId w:val="1008"/>
        </w:numPr>
        <w:pStyle w:val="Compact"/>
      </w:pPr>
      <w:r>
        <w:t xml:space="preserve">Step-by-step procedure</w:t>
      </w:r>
    </w:p>
    <w:p>
      <w:pPr>
        <w:numPr>
          <w:ilvl w:val="0"/>
          <w:numId w:val="1008"/>
        </w:numPr>
        <w:pStyle w:val="Compact"/>
      </w:pPr>
      <w:r>
        <w:t xml:space="preserve">Raw data and analysis</w:t>
      </w:r>
    </w:p>
    <w:p>
      <w:pPr>
        <w:numPr>
          <w:ilvl w:val="0"/>
          <w:numId w:val="1008"/>
        </w:numPr>
        <w:pStyle w:val="Compact"/>
      </w:pPr>
      <w:r>
        <w:t xml:space="preserve">Safety incidents or near-misses</w:t>
      </w:r>
    </w:p>
    <w:p>
      <w:pPr>
        <w:numPr>
          <w:ilvl w:val="0"/>
          <w:numId w:val="1008"/>
        </w:numPr>
        <w:pStyle w:val="Compact"/>
      </w:pPr>
      <w:r>
        <w:t xml:space="preserve">Conclusions and recommendations</w:t>
      </w:r>
    </w:p>
    <w:p>
      <w:pPr>
        <w:pStyle w:val="FirstParagraph"/>
      </w:pPr>
      <w:r>
        <w:t xml:space="preserve">Reports must be submitted to the Laboratory Manager and retained for a minimum of five years, in line with New Zealand regulatory requirements.</w:t>
      </w:r>
    </w:p>
    <w:bookmarkEnd w:id="32"/>
    <w:bookmarkStart w:id="33" w:name="compliance-and-review"/>
    <w:p>
      <w:pPr>
        <w:pStyle w:val="Heading2"/>
      </w:pPr>
      <w:r>
        <w:t xml:space="preserve">8. Compliance and Review</w:t>
      </w:r>
    </w:p>
    <w:p>
      <w:pPr>
        <w:pStyle w:val="FirstParagraph"/>
      </w:pPr>
      <w:r>
        <w:t xml:space="preserve">This protocol must be reviewed annually or following any significant incident, regulatory change, or technological advancement. All Electronics Engineers must undergo training on this protocol and sign a compliance acknowledgment.</w:t>
      </w:r>
    </w:p>
    <w:p>
      <w:pPr>
        <w:pStyle w:val="BodyText"/>
      </w:pPr>
      <w:r>
        <w:rPr>
          <w:bCs/>
          <w:b/>
        </w:rPr>
        <w:t xml:space="preserve">Note:</w:t>
      </w:r>
      <w:r>
        <w:t xml:space="preserve"> </w:t>
      </w:r>
      <w:r>
        <w:t xml:space="preserve">Failure to comply with this Experiment Protocol may result in disciplinary action, suspension of experimental privileges, or legal consequences under New Zealand law.</w:t>
      </w:r>
    </w:p>
    <w:bookmarkEnd w:id="33"/>
    <w:bookmarkStart w:id="34" w:name="signatures"/>
    <w:p>
      <w:pPr>
        <w:pStyle w:val="Heading2"/>
      </w:pPr>
      <w:r>
        <w:t xml:space="preserve">9. Signatures</w:t>
      </w:r>
    </w:p>
    <w:p>
      <w:pPr>
        <w:pStyle w:val="FirstParagraph"/>
      </w:pPr>
      <w:r>
        <w:rPr>
          <w:bCs/>
          <w:b/>
        </w:rPr>
        <w:t xml:space="preserve">Electronics Engineer:</w:t>
      </w:r>
    </w:p>
    <w:p>
      <w:pPr>
        <w:pStyle w:val="BodyText"/>
      </w:pPr>
      <w:r>
        <w:t xml:space="preserve">Name: ________________________</w:t>
      </w:r>
    </w:p>
    <w:p>
      <w:pPr>
        <w:pStyle w:val="BodyText"/>
      </w:pPr>
      <w:r>
        <w:t xml:space="preserve">Signature: _____________________</w:t>
      </w:r>
    </w:p>
    <w:p>
      <w:pPr>
        <w:pStyle w:val="BodyText"/>
      </w:pPr>
      <w:r>
        <w:t xml:space="preserve">Date: _________________________</w:t>
      </w:r>
    </w:p>
    <w:p>
      <w:pPr>
        <w:pStyle w:val="BodyText"/>
      </w:pPr>
      <w:r>
        <w:rPr>
          <w:bCs/>
          <w:b/>
        </w:rPr>
        <w:t xml:space="preserve">Laboratory Manager:</w:t>
      </w:r>
    </w:p>
    <w:p>
      <w:pPr>
        <w:pStyle w:val="BodyText"/>
      </w:pPr>
      <w:r>
        <w:t xml:space="preserve">Name: ________________________</w:t>
      </w:r>
    </w:p>
    <w:p>
      <w:pPr>
        <w:pStyle w:val="BodyText"/>
      </w:pPr>
      <w:r>
        <w:t xml:space="preserve">Signature: _____________________</w:t>
      </w:r>
    </w:p>
    <w:p>
      <w:pPr>
        <w:pStyle w:val="BodyText"/>
      </w:pPr>
      <w:r>
        <w:t xml:space="preserve">Date: _________________________</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New Zealand Wellington</dc:title>
  <dc:creator/>
  <dc:language>en</dc:language>
  <cp:keywords/>
  <dcterms:created xsi:type="dcterms:W3CDTF">2026-10-10T09:25:57Z</dcterms:created>
  <dcterms:modified xsi:type="dcterms:W3CDTF">2026-10-10T09:25:57Z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