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33" w:name="Xaaff0b9c93002e7c0642b0ecc15beb87c01eea8"/>
    <w:p>
      <w:pPr>
        <w:pStyle w:val="Heading1"/>
      </w:pPr>
      <w:r>
        <w:t xml:space="preserve">Experiment Protocol for Electronics Engineer in Philippines Manila</w:t>
      </w:r>
    </w:p>
    <w:p>
      <w:pPr>
        <w:pStyle w:val="FirstParagraph"/>
      </w:pPr>
      <w:r>
        <w:rPr>
          <w:bCs/>
          <w:b/>
        </w:rPr>
        <w:t xml:space="preserve">Date:</w:t>
      </w:r>
      <w:r>
        <w:t xml:space="preserve"> </w:t>
      </w:r>
      <w:r>
        <w:t xml:space="preserve">October 10, 2023</w:t>
      </w:r>
    </w:p>
    <w:p>
      <w:pPr>
        <w:pStyle w:val="BodyText"/>
      </w:pPr>
      <w:r>
        <w:rPr>
          <w:bCs/>
          <w:b/>
        </w:rPr>
        <w:t xml:space="preserve">Location:</w:t>
      </w:r>
      <w:r>
        <w:t xml:space="preserve"> </w:t>
      </w:r>
      <w:r>
        <w:t xml:space="preserve">Electronics Engineering Laboratory, University of the Philippines Diliman, Quezon City, Metro Manila, Philippines</w:t>
      </w:r>
    </w:p>
    <w:p>
      <w:pPr>
        <w:pStyle w:val="BodyText"/>
      </w:pPr>
      <w:r>
        <w:rPr>
          <w:bCs/>
          <w:b/>
        </w:rPr>
        <w:t xml:space="preserve">Prepared by:</w:t>
      </w:r>
      <w:r>
        <w:t xml:space="preserve"> </w:t>
      </w:r>
      <w:r>
        <w:t xml:space="preserve">[Your Name], Electronics Engineer</w:t>
      </w:r>
    </w:p>
    <w:p>
      <w:pPr>
        <w:pStyle w:val="BodyText"/>
      </w:pPr>
      <w:r>
        <w:rPr>
          <w:bCs/>
          <w:b/>
        </w:rPr>
        <w:t xml:space="preserve">Approved by:</w:t>
      </w:r>
      <w:r>
        <w:t xml:space="preserve"> </w:t>
      </w:r>
      <w:r>
        <w:t xml:space="preserve">[Supervisor's Name], Senior Electronics Engineer</w:t>
      </w:r>
    </w:p>
    <w:bookmarkStart w:id="20" w:name="introduction"/>
    <w:p>
      <w:pPr>
        <w:pStyle w:val="Heading2"/>
      </w:pPr>
      <w:r>
        <w:t xml:space="preserve">1. Introduction</w:t>
      </w:r>
    </w:p>
    <w:p>
      <w:pPr>
        <w:pStyle w:val="FirstParagraph"/>
      </w:pPr>
      <w:r>
        <w:t xml:space="preserve">This Experiment Protocol outlines the procedures and guidelines for conducting an electronics engineering experiment in the Philippines, specifically in Manila. The purpose of this document is to ensure safety, accuracy, and compliance with local regulations and standards. This protocol is designed for use by Electronics Engineers working in academic, industrial, or research settings in the Philippines.</w:t>
      </w:r>
    </w:p>
    <w:bookmarkEnd w:id="20"/>
    <w:bookmarkStart w:id="21" w:name="objectives"/>
    <w:p>
      <w:pPr>
        <w:pStyle w:val="Heading2"/>
      </w:pPr>
      <w:r>
        <w:t xml:space="preserve">2. Objectives</w:t>
      </w:r>
    </w:p>
    <w:p>
      <w:pPr>
        <w:numPr>
          <w:ilvl w:val="0"/>
          <w:numId w:val="1001"/>
        </w:numPr>
        <w:pStyle w:val="Compact"/>
      </w:pPr>
      <w:r>
        <w:t xml:space="preserve">To design and test a basic electronic circuit using standard components.</w:t>
      </w:r>
    </w:p>
    <w:p>
      <w:pPr>
        <w:numPr>
          <w:ilvl w:val="0"/>
          <w:numId w:val="1001"/>
        </w:numPr>
        <w:pStyle w:val="Compact"/>
      </w:pPr>
      <w:r>
        <w:t xml:space="preserve">To measure and analyze the performance of the circuit under various conditions.</w:t>
      </w:r>
    </w:p>
    <w:p>
      <w:pPr>
        <w:numPr>
          <w:ilvl w:val="0"/>
          <w:numId w:val="1001"/>
        </w:numPr>
        <w:pStyle w:val="Compact"/>
      </w:pPr>
      <w:r>
        <w:t xml:space="preserve">To ensure all procedures comply with the Philippine National Standards (PNS) and Occupational Safety and Health Standards (OSHS).</w:t>
      </w:r>
    </w:p>
    <w:bookmarkEnd w:id="21"/>
    <w:bookmarkStart w:id="22" w:name="scope"/>
    <w:p>
      <w:pPr>
        <w:pStyle w:val="Heading2"/>
      </w:pPr>
      <w:r>
        <w:t xml:space="preserve">3. Scope</w:t>
      </w:r>
    </w:p>
    <w:p>
      <w:pPr>
        <w:pStyle w:val="FirstParagraph"/>
      </w:pPr>
      <w:r>
        <w:t xml:space="preserve">This protocol applies to all Electronics Engineers and technicians involved in the experiment. It covers the preparation, execution, and documentation phases of the experiment. The experiment will be conducted in a controlled laboratory environment in Manila, Philippines.</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Breadboard</w:t>
            </w:r>
          </w:p>
        </w:tc>
        <w:tc>
          <w:tcPr/>
          <w:p>
            <w:pPr>
              <w:pStyle w:val="Compact"/>
              <w:jc w:val="left"/>
            </w:pPr>
            <w:r>
              <w:t xml:space="preserve">1</w:t>
            </w:r>
          </w:p>
        </w:tc>
        <w:tc>
          <w:tcPr/>
          <w:p>
            <w:pPr>
              <w:pStyle w:val="Compact"/>
              <w:jc w:val="left"/>
            </w:pPr>
            <w:r>
              <w:t xml:space="preserve">Standard 830-point</w:t>
            </w:r>
          </w:p>
        </w:tc>
      </w:tr>
      <w:tr>
        <w:tc>
          <w:tcPr/>
          <w:p>
            <w:pPr>
              <w:pStyle w:val="Compact"/>
              <w:jc w:val="left"/>
            </w:pPr>
            <w:r>
              <w:t xml:space="preserve">Resistors</w:t>
            </w:r>
          </w:p>
        </w:tc>
        <w:tc>
          <w:tcPr/>
          <w:p>
            <w:pPr>
              <w:pStyle w:val="Compact"/>
              <w:jc w:val="left"/>
            </w:pPr>
            <w:r>
              <w:t xml:space="preserve">10</w:t>
            </w:r>
          </w:p>
        </w:tc>
        <w:tc>
          <w:tcPr/>
          <w:p>
            <w:pPr>
              <w:pStyle w:val="Compact"/>
              <w:jc w:val="left"/>
            </w:pPr>
            <w:r>
              <w:t xml:space="preserve">Various values (100Ω to 10kΩ)</w:t>
            </w:r>
          </w:p>
        </w:tc>
      </w:tr>
      <w:tr>
        <w:tc>
          <w:tcPr/>
          <w:p>
            <w:pPr>
              <w:pStyle w:val="Compact"/>
              <w:jc w:val="left"/>
            </w:pPr>
            <w:r>
              <w:t xml:space="preserve">Capacitors</w:t>
            </w:r>
          </w:p>
        </w:tc>
        <w:tc>
          <w:tcPr/>
          <w:p>
            <w:pPr>
              <w:pStyle w:val="Compact"/>
              <w:jc w:val="left"/>
            </w:pPr>
            <w:r>
              <w:t xml:space="preserve">5</w:t>
            </w:r>
          </w:p>
        </w:tc>
        <w:tc>
          <w:tcPr/>
          <w:p>
            <w:pPr>
              <w:pStyle w:val="Compact"/>
              <w:jc w:val="left"/>
            </w:pPr>
            <w:r>
              <w:t xml:space="preserve">Various values (10nF to 100µF)</w:t>
            </w:r>
          </w:p>
        </w:tc>
      </w:tr>
      <w:tr>
        <w:tc>
          <w:tcPr/>
          <w:p>
            <w:pPr>
              <w:pStyle w:val="Compact"/>
              <w:jc w:val="left"/>
            </w:pPr>
            <w:r>
              <w:t xml:space="preserve">LEDs</w:t>
            </w:r>
          </w:p>
        </w:tc>
        <w:tc>
          <w:tcPr/>
          <w:p>
            <w:pPr>
              <w:pStyle w:val="Compact"/>
              <w:jc w:val="left"/>
            </w:pPr>
            <w:r>
              <w:t xml:space="preserve">5</w:t>
            </w:r>
          </w:p>
        </w:tc>
        <w:tc>
          <w:tcPr/>
          <w:p>
            <w:pPr>
              <w:pStyle w:val="Compact"/>
              <w:jc w:val="left"/>
            </w:pPr>
            <w:r>
              <w:t xml:space="preserve">Red, Green, Blue</w:t>
            </w:r>
          </w:p>
        </w:tc>
      </w:tr>
      <w:tr>
        <w:tc>
          <w:tcPr/>
          <w:p>
            <w:pPr>
              <w:pStyle w:val="Compact"/>
              <w:jc w:val="left"/>
            </w:pPr>
            <w:r>
              <w:t xml:space="preserve">Power Supply</w:t>
            </w:r>
          </w:p>
        </w:tc>
        <w:tc>
          <w:tcPr/>
          <w:p>
            <w:pPr>
              <w:pStyle w:val="Compact"/>
              <w:jc w:val="left"/>
            </w:pPr>
            <w:r>
              <w:t xml:space="preserve">1</w:t>
            </w:r>
          </w:p>
        </w:tc>
        <w:tc>
          <w:tcPr/>
          <w:p>
            <w:pPr>
              <w:pStyle w:val="Compact"/>
              <w:jc w:val="left"/>
            </w:pPr>
            <w:r>
              <w:t xml:space="preserve">0-30V DC, 0-3A</w:t>
            </w:r>
          </w:p>
        </w:tc>
      </w:tr>
      <w:tr>
        <w:tc>
          <w:tcPr/>
          <w:p>
            <w:pPr>
              <w:pStyle w:val="Compact"/>
              <w:jc w:val="left"/>
            </w:pPr>
            <w:r>
              <w:t xml:space="preserve">Multimeter</w:t>
            </w:r>
          </w:p>
        </w:tc>
        <w:tc>
          <w:tcPr/>
          <w:p>
            <w:pPr>
              <w:pStyle w:val="Compact"/>
              <w:jc w:val="left"/>
            </w:pPr>
            <w:r>
              <w:t xml:space="preserve">1</w:t>
            </w:r>
          </w:p>
        </w:tc>
        <w:tc>
          <w:tcPr/>
          <w:p>
            <w:pPr>
              <w:pStyle w:val="Compact"/>
              <w:jc w:val="left"/>
            </w:pPr>
            <w:r>
              <w:t xml:space="preserve">Digital, True RMS</w:t>
            </w:r>
          </w:p>
        </w:tc>
      </w:tr>
      <w:tr>
        <w:tc>
          <w:tcPr/>
          <w:p>
            <w:pPr>
              <w:pStyle w:val="Compact"/>
              <w:jc w:val="left"/>
            </w:pPr>
            <w:r>
              <w:t xml:space="preserve">Oscilloscope</w:t>
            </w:r>
          </w:p>
        </w:tc>
        <w:tc>
          <w:tcPr/>
          <w:p>
            <w:pPr>
              <w:pStyle w:val="Compact"/>
              <w:jc w:val="left"/>
            </w:pPr>
            <w:r>
              <w:t xml:space="preserve">1</w:t>
            </w:r>
          </w:p>
        </w:tc>
        <w:tc>
          <w:tcPr/>
          <w:p>
            <w:pPr>
              <w:pStyle w:val="Compact"/>
              <w:jc w:val="left"/>
            </w:pPr>
            <w:r>
              <w:t xml:space="preserve">2-channel, 100MHz</w:t>
            </w:r>
          </w:p>
        </w:tc>
      </w:tr>
      <w:tr>
        <w:tc>
          <w:tcPr/>
          <w:p>
            <w:pPr>
              <w:pStyle w:val="Compact"/>
              <w:jc w:val="left"/>
            </w:pPr>
            <w:r>
              <w:t xml:space="preserve">Wires</w:t>
            </w:r>
          </w:p>
        </w:tc>
        <w:tc>
          <w:tcPr/>
          <w:p>
            <w:pPr>
              <w:pStyle w:val="Compact"/>
              <w:jc w:val="left"/>
            </w:pPr>
            <w:r>
              <w:t xml:space="preserve">As needed</w:t>
            </w:r>
          </w:p>
        </w:tc>
        <w:tc>
          <w:tcPr/>
          <w:p>
            <w:pPr>
              <w:pStyle w:val="Compact"/>
              <w:jc w:val="left"/>
            </w:pPr>
            <w:r>
              <w:t xml:space="preserve">Jumper wires, 22 AWG</w:t>
            </w:r>
          </w:p>
        </w:tc>
      </w:tr>
    </w:tbl>
    <w:bookmarkEnd w:id="23"/>
    <w:bookmarkStart w:id="24" w:name="safety-precautions"/>
    <w:p>
      <w:pPr>
        <w:pStyle w:val="Heading2"/>
      </w:pPr>
      <w:r>
        <w:t xml:space="preserve">5. Safety Precautions</w:t>
      </w:r>
    </w:p>
    <w:p>
      <w:pPr>
        <w:pStyle w:val="FirstParagraph"/>
      </w:pPr>
      <w:r>
        <w:rPr>
          <w:bCs/>
          <w:b/>
        </w:rPr>
        <w:t xml:space="preserve">Important:</w:t>
      </w:r>
      <w:r>
        <w:t xml:space="preserve"> </w:t>
      </w:r>
      <w:r>
        <w:t xml:space="preserve">Always wear appropriate personal protective equipment (PPE) such as safety glasses and lab coats. Ensure that the laboratory is well-ventilated and free from flammable materials.</w:t>
      </w:r>
    </w:p>
    <w:p>
      <w:pPr>
        <w:numPr>
          <w:ilvl w:val="0"/>
          <w:numId w:val="1002"/>
        </w:numPr>
        <w:pStyle w:val="Compact"/>
      </w:pPr>
      <w:r>
        <w:t xml:space="preserve">Follow all safety guidelines provided by the Department of Labor and Employment (DOLE) in the Philippines.</w:t>
      </w:r>
    </w:p>
    <w:p>
      <w:pPr>
        <w:numPr>
          <w:ilvl w:val="0"/>
          <w:numId w:val="1002"/>
        </w:numPr>
        <w:pStyle w:val="Compact"/>
      </w:pPr>
      <w:r>
        <w:t xml:space="preserve">Ensure that all electrical equipment is properly grounded and in good working condition.</w:t>
      </w:r>
    </w:p>
    <w:p>
      <w:pPr>
        <w:numPr>
          <w:ilvl w:val="0"/>
          <w:numId w:val="1002"/>
        </w:numPr>
        <w:pStyle w:val="Compact"/>
      </w:pPr>
      <w:r>
        <w:t xml:space="preserve">Do not touch live circuits or components with bare hands.</w:t>
      </w:r>
    </w:p>
    <w:p>
      <w:pPr>
        <w:numPr>
          <w:ilvl w:val="0"/>
          <w:numId w:val="1002"/>
        </w:numPr>
        <w:pStyle w:val="Compact"/>
      </w:pPr>
      <w:r>
        <w:t xml:space="preserve">Keep a fire extinguisher and first aid kit readily available.</w:t>
      </w:r>
    </w:p>
    <w:bookmarkEnd w:id="24"/>
    <w:bookmarkStart w:id="29" w:name="procedure"/>
    <w:p>
      <w:pPr>
        <w:pStyle w:val="Heading2"/>
      </w:pPr>
      <w:r>
        <w:t xml:space="preserve">6. Procedure</w:t>
      </w:r>
    </w:p>
    <w:bookmarkStart w:id="25" w:name="preparation"/>
    <w:p>
      <w:pPr>
        <w:pStyle w:val="Heading3"/>
      </w:pPr>
      <w:r>
        <w:t xml:space="preserve">6.1 Preparation</w:t>
      </w:r>
    </w:p>
    <w:p>
      <w:pPr>
        <w:numPr>
          <w:ilvl w:val="0"/>
          <w:numId w:val="1003"/>
        </w:numPr>
        <w:pStyle w:val="Compact"/>
      </w:pPr>
      <w:r>
        <w:t xml:space="preserve">Gather all necessary materials and equipment listed in Section 4.</w:t>
      </w:r>
    </w:p>
    <w:p>
      <w:pPr>
        <w:numPr>
          <w:ilvl w:val="0"/>
          <w:numId w:val="1003"/>
        </w:numPr>
        <w:pStyle w:val="Compact"/>
      </w:pPr>
      <w:r>
        <w:t xml:space="preserve">Inspect all components for damage or defects.</w:t>
      </w:r>
    </w:p>
    <w:p>
      <w:pPr>
        <w:numPr>
          <w:ilvl w:val="0"/>
          <w:numId w:val="1003"/>
        </w:numPr>
        <w:pStyle w:val="Compact"/>
      </w:pPr>
      <w:r>
        <w:t xml:space="preserve">Set up the breadboard and connect the power supply.</w:t>
      </w:r>
    </w:p>
    <w:p>
      <w:pPr>
        <w:numPr>
          <w:ilvl w:val="0"/>
          <w:numId w:val="1003"/>
        </w:numPr>
        <w:pStyle w:val="Compact"/>
      </w:pPr>
      <w:r>
        <w:t xml:space="preserve">Calibrate the multimeter and oscilloscope.</w:t>
      </w:r>
    </w:p>
    <w:bookmarkEnd w:id="25"/>
    <w:bookmarkStart w:id="26" w:name="circuit-assembly"/>
    <w:p>
      <w:pPr>
        <w:pStyle w:val="Heading3"/>
      </w:pPr>
      <w:r>
        <w:t xml:space="preserve">6.2 Circuit Assembly</w:t>
      </w:r>
    </w:p>
    <w:p>
      <w:pPr>
        <w:numPr>
          <w:ilvl w:val="0"/>
          <w:numId w:val="1004"/>
        </w:numPr>
        <w:pStyle w:val="Compact"/>
      </w:pPr>
      <w:r>
        <w:t xml:space="preserve">Place the resistors, capacitors, and LEDs on the breadboard according to the circuit diagram.</w:t>
      </w:r>
    </w:p>
    <w:p>
      <w:pPr>
        <w:numPr>
          <w:ilvl w:val="0"/>
          <w:numId w:val="1004"/>
        </w:numPr>
        <w:pStyle w:val="Compact"/>
      </w:pPr>
      <w:r>
        <w:t xml:space="preserve">Connect the components using jumper wires.</w:t>
      </w:r>
    </w:p>
    <w:p>
      <w:pPr>
        <w:numPr>
          <w:ilvl w:val="0"/>
          <w:numId w:val="1004"/>
        </w:numPr>
        <w:pStyle w:val="Compact"/>
      </w:pPr>
      <w:r>
        <w:t xml:space="preserve">Double-check all connections to ensure they are secure and correct.</w:t>
      </w:r>
    </w:p>
    <w:bookmarkEnd w:id="26"/>
    <w:bookmarkStart w:id="27" w:name="testing-and-measurement"/>
    <w:p>
      <w:pPr>
        <w:pStyle w:val="Heading3"/>
      </w:pPr>
      <w:r>
        <w:t xml:space="preserve">6.3 Testing and Measurement</w:t>
      </w:r>
    </w:p>
    <w:p>
      <w:pPr>
        <w:numPr>
          <w:ilvl w:val="0"/>
          <w:numId w:val="1005"/>
        </w:numPr>
        <w:pStyle w:val="Compact"/>
      </w:pPr>
      <w:r>
        <w:t xml:space="preserve">Turn on the power supply and set the voltage to the desired level.</w:t>
      </w:r>
    </w:p>
    <w:p>
      <w:pPr>
        <w:numPr>
          <w:ilvl w:val="0"/>
          <w:numId w:val="1005"/>
        </w:numPr>
        <w:pStyle w:val="Compact"/>
      </w:pPr>
      <w:r>
        <w:t xml:space="preserve">Use the multimeter to measure the voltage across each component.</w:t>
      </w:r>
    </w:p>
    <w:p>
      <w:pPr>
        <w:numPr>
          <w:ilvl w:val="0"/>
          <w:numId w:val="1005"/>
        </w:numPr>
        <w:pStyle w:val="Compact"/>
      </w:pPr>
      <w:r>
        <w:t xml:space="preserve">Use the oscilloscope to observe the waveform of the circuit output.</w:t>
      </w:r>
    </w:p>
    <w:p>
      <w:pPr>
        <w:numPr>
          <w:ilvl w:val="0"/>
          <w:numId w:val="1005"/>
        </w:numPr>
        <w:pStyle w:val="Compact"/>
      </w:pPr>
      <w:r>
        <w:t xml:space="preserve">Record all measurements and observations.</w:t>
      </w:r>
    </w:p>
    <w:bookmarkEnd w:id="27"/>
    <w:bookmarkStart w:id="28" w:name="analysis"/>
    <w:p>
      <w:pPr>
        <w:pStyle w:val="Heading3"/>
      </w:pPr>
      <w:r>
        <w:t xml:space="preserve">6.4 Analysis</w:t>
      </w:r>
    </w:p>
    <w:p>
      <w:pPr>
        <w:numPr>
          <w:ilvl w:val="0"/>
          <w:numId w:val="1006"/>
        </w:numPr>
        <w:pStyle w:val="Compact"/>
      </w:pPr>
      <w:r>
        <w:t xml:space="preserve">Compare the measured values with the theoretical values.</w:t>
      </w:r>
    </w:p>
    <w:p>
      <w:pPr>
        <w:numPr>
          <w:ilvl w:val="0"/>
          <w:numId w:val="1006"/>
        </w:numPr>
        <w:pStyle w:val="Compact"/>
      </w:pPr>
      <w:r>
        <w:t xml:space="preserve">Analyze any discrepancies and identify possible causes.</w:t>
      </w:r>
    </w:p>
    <w:p>
      <w:pPr>
        <w:numPr>
          <w:ilvl w:val="0"/>
          <w:numId w:val="1006"/>
        </w:numPr>
        <w:pStyle w:val="Compact"/>
      </w:pPr>
      <w:r>
        <w:t xml:space="preserve">Document the results and conclusions.</w:t>
      </w:r>
    </w:p>
    <w:bookmarkEnd w:id="28"/>
    <w:bookmarkEnd w:id="29"/>
    <w:bookmarkStart w:id="30" w:name="data-recording-and-reporting"/>
    <w:p>
      <w:pPr>
        <w:pStyle w:val="Heading2"/>
      </w:pPr>
      <w:r>
        <w:t xml:space="preserve">7. Data Recording and Reporting</w:t>
      </w:r>
    </w:p>
    <w:p>
      <w:pPr>
        <w:pStyle w:val="FirstParagraph"/>
      </w:pPr>
      <w:r>
        <w:t xml:space="preserve">All data must be recorded accurately and in a standardized format. Use the following template for data recording: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Theoretical Value</w:t>
            </w:r>
          </w:p>
        </w:tc>
        <w:tc>
          <w:tcPr/>
          <w:p>
            <w:pPr>
              <w:pStyle w:val="Compact"/>
              <w:jc w:val="left"/>
            </w:pPr>
            <w:r>
              <w:t xml:space="preserve">Measured Value</w:t>
            </w:r>
          </w:p>
        </w:tc>
        <w:tc>
          <w:tcPr/>
          <w:p>
            <w:pPr>
              <w:pStyle w:val="Compact"/>
              <w:jc w:val="left"/>
            </w:pPr>
            <w:r>
              <w:t xml:space="preserve">Deviation</w:t>
            </w:r>
          </w:p>
        </w:tc>
      </w:tr>
      <w:tr>
        <w:tc>
          <w:tcPr/>
          <w:p>
            <w:pPr>
              <w:pStyle w:val="Compact"/>
              <w:jc w:val="left"/>
            </w:pPr>
            <w:r>
              <w:t xml:space="preserve">Voltage across R1</w:t>
            </w:r>
          </w:p>
        </w:tc>
        <w:tc>
          <w:tcPr/>
          <w:p>
            <w:pPr>
              <w:pStyle w:val="Compact"/>
              <w:jc w:val="left"/>
            </w:pPr>
            <w:r>
              <w:t xml:space="preserve">5V</w:t>
            </w:r>
          </w:p>
        </w:tc>
        <w:tc>
          <w:tcPr/>
          <w:p>
            <w:pPr>
              <w:pStyle w:val="Compact"/>
              <w:jc w:val="left"/>
            </w:pPr>
            <w:r>
              <w:t xml:space="preserve">4.9V</w:t>
            </w:r>
          </w:p>
        </w:tc>
        <w:tc>
          <w:tcPr/>
          <w:p>
            <w:pPr>
              <w:pStyle w:val="Compact"/>
              <w:jc w:val="left"/>
            </w:pPr>
            <w:r>
              <w:t xml:space="preserve">-0.1V</w:t>
            </w:r>
          </w:p>
        </w:tc>
      </w:tr>
      <w:tr>
        <w:tc>
          <w:tcPr/>
          <w:p>
            <w:pPr>
              <w:pStyle w:val="Compact"/>
              <w:jc w:val="left"/>
            </w:pPr>
            <w:r>
              <w:t xml:space="preserve">Current through C1</w:t>
            </w:r>
          </w:p>
        </w:tc>
        <w:tc>
          <w:tcPr/>
          <w:p>
            <w:pPr>
              <w:pStyle w:val="Compact"/>
              <w:jc w:val="left"/>
            </w:pPr>
            <w:r>
              <w:t xml:space="preserve">10mA</w:t>
            </w:r>
          </w:p>
        </w:tc>
        <w:tc>
          <w:tcPr/>
          <w:p>
            <w:pPr>
              <w:pStyle w:val="Compact"/>
              <w:jc w:val="left"/>
            </w:pPr>
            <w:r>
              <w:t xml:space="preserve">9.8mA</w:t>
            </w:r>
          </w:p>
        </w:tc>
        <w:tc>
          <w:tcPr/>
          <w:p>
            <w:pPr>
              <w:pStyle w:val="Compact"/>
              <w:jc w:val="left"/>
            </w:pPr>
            <w:r>
              <w:t xml:space="preserve">-0.2mA</w:t>
            </w:r>
          </w:p>
        </w:tc>
      </w:tr>
    </w:tbl>
    <w:p>
      <w:pPr>
        <w:pStyle w:val="BodyText"/>
      </w:pPr>
      <w:r>
        <w:t xml:space="preserve">Prepare a detailed report including the objectives, methods, results, and conclusions. Submit the report to the supervisor for review.</w:t>
      </w:r>
    </w:p>
    <w:bookmarkEnd w:id="30"/>
    <w:bookmarkStart w:id="31" w:name="compliance-and-standards"/>
    <w:p>
      <w:pPr>
        <w:pStyle w:val="Heading2"/>
      </w:pPr>
      <w:r>
        <w:t xml:space="preserve">8. Compliance and Standards</w:t>
      </w:r>
    </w:p>
    <w:p>
      <w:pPr>
        <w:pStyle w:val="FirstParagraph"/>
      </w:pPr>
      <w:r>
        <w:t xml:space="preserve">This experiment protocol adheres to the following standards and regulations:</w:t>
      </w:r>
    </w:p>
    <w:p>
      <w:pPr>
        <w:numPr>
          <w:ilvl w:val="0"/>
          <w:numId w:val="1007"/>
        </w:numPr>
        <w:pStyle w:val="Compact"/>
      </w:pPr>
      <w:r>
        <w:t xml:space="preserve">Philippine National Standards (PNS)</w:t>
      </w:r>
    </w:p>
    <w:p>
      <w:pPr>
        <w:numPr>
          <w:ilvl w:val="0"/>
          <w:numId w:val="1007"/>
        </w:numPr>
        <w:pStyle w:val="Compact"/>
      </w:pPr>
      <w:r>
        <w:t xml:space="preserve">Occupational Safety and Health Standards (OSHS)</w:t>
      </w:r>
    </w:p>
    <w:p>
      <w:pPr>
        <w:numPr>
          <w:ilvl w:val="0"/>
          <w:numId w:val="1007"/>
        </w:numPr>
        <w:pStyle w:val="Compact"/>
      </w:pPr>
      <w:r>
        <w:t xml:space="preserve">IEEE Standards for Electrical and Electronic Engineering</w:t>
      </w:r>
    </w:p>
    <w:bookmarkEnd w:id="31"/>
    <w:bookmarkStart w:id="32" w:name="conclusion"/>
    <w:p>
      <w:pPr>
        <w:pStyle w:val="Heading2"/>
      </w:pPr>
      <w:r>
        <w:t xml:space="preserve">9. Conclusion</w:t>
      </w:r>
    </w:p>
    <w:p>
      <w:pPr>
        <w:pStyle w:val="FirstParagraph"/>
      </w:pPr>
      <w:r>
        <w:t xml:space="preserve">This Experiment Protocol provides a comprehensive guide for Electronics Engineers conducting experiments in Manila, Philippines. By following these procedures, engineers can ensure the safety, accuracy, and compliance of their work. Continuous improvement and adherence to best practices are essential for the advancement of electronics engineering in the Philippines.</w:t>
      </w:r>
    </w:p>
    <w:p>
      <w:pPr>
        <w:pStyle w:val="BodyText"/>
      </w:pPr>
      <w:r>
        <w:rPr>
          <w:bCs/>
          <w:b/>
        </w:rPr>
        <w:t xml:space="preserve">Note:</w:t>
      </w:r>
      <w:r>
        <w:t xml:space="preserve"> </w:t>
      </w:r>
      <w:r>
        <w:t xml:space="preserve">This document should be reviewed and updated regularly to reflect any changes in standards, regulations, or best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Philippines Manila</dc:title>
  <dc:creator/>
  <dc:language>en</dc:language>
  <cp:keywords/>
  <dcterms:created xsi:type="dcterms:W3CDTF">2026-10-10T00:59:50Z</dcterms:created>
  <dcterms:modified xsi:type="dcterms:W3CDTF">2026-10-10T00:59:50Z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