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Thailand</w:t>
      </w:r>
      <w:r>
        <w:t xml:space="preserve"> </w:t>
      </w:r>
      <w:r>
        <w:t xml:space="preserve">Bangkok</w:t>
      </w:r>
    </w:p>
    <w:bookmarkStart w:id="29" w:name="Xe22631c8d257c9666a7dfb7ff9ef7dabb41c0f5"/>
    <w:p>
      <w:pPr>
        <w:pStyle w:val="Heading1"/>
      </w:pPr>
      <w:r>
        <w:t xml:space="preserve">Experiment Protocol: Electronics Engineer - Thailand Bangkok</w:t>
      </w:r>
    </w:p>
    <w:p>
      <w:pPr>
        <w:pStyle w:val="FirstParagraph"/>
      </w:pPr>
      <w:r>
        <w:rPr>
          <w:bCs/>
          <w:b/>
        </w:rPr>
        <w:t xml:space="preserve">Document ID:</w:t>
      </w:r>
      <w:r>
        <w:t xml:space="preserve"> </w:t>
      </w:r>
      <w:r>
        <w:t xml:space="preserve">EP-ENG-BKK-2024-001</w:t>
      </w:r>
    </w:p>
    <w:p>
      <w:pPr>
        <w:pStyle w:val="BodyText"/>
      </w:pPr>
      <w:r>
        <w:rPr>
          <w:bCs/>
          <w:b/>
        </w:rPr>
        <w:t xml:space="preserve">Location:</w:t>
      </w:r>
      <w:r>
        <w:t xml:space="preserve"> </w:t>
      </w:r>
      <w:r>
        <w:t xml:space="preserve">Bangkok, Thailand</w:t>
      </w:r>
    </w:p>
    <w:p>
      <w:pPr>
        <w:pStyle w:val="BodyText"/>
      </w:pPr>
      <w:r>
        <w:rPr>
          <w:bCs/>
          <w:b/>
        </w:rPr>
        <w:t xml:space="preserve">Role:</w:t>
      </w:r>
      <w:r>
        <w:t xml:space="preserve"> </w:t>
      </w:r>
      <w:r>
        <w:t xml:space="preserve">Electronics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
    <w:p>
      <w:pPr>
        <w:pStyle w:val="Heading2"/>
      </w:pPr>
      <w:r>
        <w:t xml:space="preserve">1. Introduction</w:t>
      </w:r>
    </w:p>
    <w:p>
      <w:pPr>
        <w:pStyle w:val="FirstParagraph"/>
      </w:pPr>
      <w:r>
        <w:t xml:space="preserve">This Experiment Protocol is designed for Electronics Engineers operating in the dynamic technological landscape of Thailand Bangkok. The purpose of this document is to outline the procedures, safety measures, and technical requirements necessary for conducting electronic experiments in a controlled environment. Bangkok, as a hub for innovation and technology in Southeast Asia, demands high standards of precision and safety in all engineering practices. This protocol ensures that all experiments are conducted in compliance with local regulations and international best practices.</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establish a standardized procedure for conducting electronic experiments.</w:t>
      </w:r>
    </w:p>
    <w:p>
      <w:pPr>
        <w:numPr>
          <w:ilvl w:val="0"/>
          <w:numId w:val="1001"/>
        </w:numPr>
        <w:pStyle w:val="Compact"/>
      </w:pPr>
      <w:r>
        <w:t xml:space="preserve">To ensure the safety of all personnel involved in the experiments.</w:t>
      </w:r>
    </w:p>
    <w:p>
      <w:pPr>
        <w:numPr>
          <w:ilvl w:val="0"/>
          <w:numId w:val="1001"/>
        </w:numPr>
        <w:pStyle w:val="Compact"/>
      </w:pPr>
      <w:r>
        <w:t xml:space="preserve">To maintain the integrity and accuracy of experimental data.</w:t>
      </w:r>
    </w:p>
    <w:p>
      <w:pPr>
        <w:numPr>
          <w:ilvl w:val="0"/>
          <w:numId w:val="1001"/>
        </w:numPr>
        <w:pStyle w:val="Compact"/>
      </w:pPr>
      <w:r>
        <w:t xml:space="preserve">To comply with the regulatory requirements of Thailand Bangkok.</w:t>
      </w:r>
    </w:p>
    <w:bookmarkEnd w:id="21"/>
    <w:bookmarkStart w:id="22" w:name="scope"/>
    <w:p>
      <w:pPr>
        <w:pStyle w:val="Heading2"/>
      </w:pPr>
      <w:r>
        <w:t xml:space="preserve">3. Scope</w:t>
      </w:r>
    </w:p>
    <w:p>
      <w:pPr>
        <w:pStyle w:val="FirstParagraph"/>
      </w:pPr>
      <w:r>
        <w:t xml:space="preserve">This protocol applies to all Electronics Engineers and related personnel working in laboratories, research facilities, and industrial settings in Thailand Bangkok. It covers a wide range of electronic experiments, including but not limited to circuit design, signal processing, power electronics, and embedded systems.</w:t>
      </w:r>
    </w:p>
    <w:bookmarkEnd w:id="22"/>
    <w:bookmarkStart w:id="23" w:name="safety-measures"/>
    <w:p>
      <w:pPr>
        <w:pStyle w:val="Heading2"/>
      </w:pPr>
      <w:r>
        <w:t xml:space="preserve">4. Safety Measures</w:t>
      </w:r>
    </w:p>
    <w:p>
      <w:pPr>
        <w:pStyle w:val="FirstParagraph"/>
      </w:pPr>
      <w:r>
        <w:t xml:space="preserve">Safety is paramount in any electronic experiment. The following measures must be strictly adhered to:</w:t>
      </w:r>
    </w:p>
    <w:p>
      <w:pPr>
        <w:numPr>
          <w:ilvl w:val="0"/>
          <w:numId w:val="1002"/>
        </w:numPr>
        <w:pStyle w:val="Compact"/>
      </w:pPr>
      <w:r>
        <w:rPr>
          <w:bCs/>
          <w:b/>
        </w:rPr>
        <w:t xml:space="preserve">Personal Protective Equipment (PPE):</w:t>
      </w:r>
      <w:r>
        <w:t xml:space="preserve"> </w:t>
      </w:r>
      <w:r>
        <w:t xml:space="preserve">All personnel must wear appropriate PPE, including safety glasses, lab coats, and insulated gloves.</w:t>
      </w:r>
    </w:p>
    <w:p>
      <w:pPr>
        <w:numPr>
          <w:ilvl w:val="0"/>
          <w:numId w:val="1002"/>
        </w:numPr>
        <w:pStyle w:val="Compact"/>
      </w:pPr>
      <w:r>
        <w:rPr>
          <w:bCs/>
          <w:b/>
        </w:rPr>
        <w:t xml:space="preserve">Electrical Safety:</w:t>
      </w:r>
      <w:r>
        <w:t xml:space="preserve"> </w:t>
      </w:r>
      <w:r>
        <w:t xml:space="preserve">Ensure all equipment is properly grounded and insulated. Use residual current devices (RCDs) to prevent electric shocks.</w:t>
      </w:r>
    </w:p>
    <w:p>
      <w:pPr>
        <w:numPr>
          <w:ilvl w:val="0"/>
          <w:numId w:val="1002"/>
        </w:numPr>
        <w:pStyle w:val="Compact"/>
      </w:pPr>
      <w:r>
        <w:rPr>
          <w:bCs/>
          <w:b/>
        </w:rPr>
        <w:t xml:space="preserve">Fire Safety:</w:t>
      </w:r>
      <w:r>
        <w:t xml:space="preserve"> </w:t>
      </w:r>
      <w:r>
        <w:t xml:space="preserve">Keep fire extinguishers and fire blankets readily available. Ensure all flammable materials are stored safely.</w:t>
      </w:r>
    </w:p>
    <w:p>
      <w:pPr>
        <w:numPr>
          <w:ilvl w:val="0"/>
          <w:numId w:val="1002"/>
        </w:numPr>
        <w:pStyle w:val="Compact"/>
      </w:pPr>
      <w:r>
        <w:rPr>
          <w:bCs/>
          <w:b/>
        </w:rPr>
        <w:t xml:space="preserve">Emergency Procedures:</w:t>
      </w:r>
      <w:r>
        <w:t xml:space="preserve"> </w:t>
      </w:r>
      <w:r>
        <w:t xml:space="preserve">Familiarize all personnel with emergency shutdown procedures and evacuation routes.</w:t>
      </w:r>
    </w:p>
    <w:bookmarkEnd w:id="23"/>
    <w:bookmarkStart w:id="24" w:name="equipment-and-materials"/>
    <w:p>
      <w:pPr>
        <w:pStyle w:val="Heading2"/>
      </w:pPr>
      <w:r>
        <w:t xml:space="preserve">5. Equipment and Materials</w:t>
      </w:r>
    </w:p>
    <w:p>
      <w:pPr>
        <w:pStyle w:val="FirstParagraph"/>
      </w:pPr>
      <w:r>
        <w:t xml:space="preserve">The following equipment and materials are required for the experiments: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Oscilloscope</w:t>
            </w:r>
          </w:p>
        </w:tc>
        <w:tc>
          <w:tcPr/>
          <w:p>
            <w:pPr>
              <w:pStyle w:val="Compact"/>
              <w:jc w:val="left"/>
            </w:pPr>
            <w:r>
              <w:t xml:space="preserve">Digital, 100 MHz bandwidth</w:t>
            </w:r>
          </w:p>
        </w:tc>
        <w:tc>
          <w:tcPr/>
          <w:p>
            <w:pPr>
              <w:pStyle w:val="Compact"/>
              <w:jc w:val="left"/>
            </w:pPr>
            <w:r>
              <w:t xml:space="preserve">2</w:t>
            </w:r>
          </w:p>
        </w:tc>
      </w:tr>
      <w:tr>
        <w:tc>
          <w:tcPr/>
          <w:p>
            <w:pPr>
              <w:pStyle w:val="Compact"/>
              <w:jc w:val="left"/>
            </w:pPr>
            <w:r>
              <w:t xml:space="preserve">Function Generator</w:t>
            </w:r>
          </w:p>
        </w:tc>
        <w:tc>
          <w:tcPr/>
          <w:p>
            <w:pPr>
              <w:pStyle w:val="Compact"/>
              <w:jc w:val="left"/>
            </w:pPr>
            <w:r>
              <w:t xml:space="preserve">Up to 20 MHz</w:t>
            </w:r>
          </w:p>
        </w:tc>
        <w:tc>
          <w:tcPr/>
          <w:p>
            <w:pPr>
              <w:pStyle w:val="Compact"/>
              <w:jc w:val="left"/>
            </w:pPr>
            <w:r>
              <w:t xml:space="preserve">1</w:t>
            </w:r>
          </w:p>
        </w:tc>
      </w:tr>
      <w:tr>
        <w:tc>
          <w:tcPr/>
          <w:p>
            <w:pPr>
              <w:pStyle w:val="Compact"/>
              <w:jc w:val="left"/>
            </w:pPr>
            <w:r>
              <w:t xml:space="preserve">Power Supply</w:t>
            </w:r>
          </w:p>
        </w:tc>
        <w:tc>
          <w:tcPr/>
          <w:p>
            <w:pPr>
              <w:pStyle w:val="Compact"/>
              <w:jc w:val="left"/>
            </w:pPr>
            <w:r>
              <w:t xml:space="preserve">Adjustable DC, 0-30V</w:t>
            </w:r>
          </w:p>
        </w:tc>
        <w:tc>
          <w:tcPr/>
          <w:p>
            <w:pPr>
              <w:pStyle w:val="Compact"/>
              <w:jc w:val="left"/>
            </w:pPr>
            <w:r>
              <w:t xml:space="preserve">2</w:t>
            </w:r>
          </w:p>
        </w:tc>
      </w:tr>
      <w:tr>
        <w:tc>
          <w:tcPr/>
          <w:p>
            <w:pPr>
              <w:pStyle w:val="Compact"/>
              <w:jc w:val="left"/>
            </w:pPr>
            <w:r>
              <w:t xml:space="preserve">Multimeter</w:t>
            </w:r>
          </w:p>
        </w:tc>
        <w:tc>
          <w:tcPr/>
          <w:p>
            <w:pPr>
              <w:pStyle w:val="Compact"/>
              <w:jc w:val="left"/>
            </w:pPr>
            <w:r>
              <w:t xml:space="preserve">Digital, auto-ranging</w:t>
            </w:r>
          </w:p>
        </w:tc>
        <w:tc>
          <w:tcPr/>
          <w:p>
            <w:pPr>
              <w:pStyle w:val="Compact"/>
              <w:jc w:val="left"/>
            </w:pPr>
            <w:r>
              <w:t xml:space="preserve">3</w:t>
            </w:r>
          </w:p>
        </w:tc>
      </w:tr>
      <w:tr>
        <w:tc>
          <w:tcPr/>
          <w:p>
            <w:pPr>
              <w:pStyle w:val="Compact"/>
              <w:jc w:val="left"/>
            </w:pPr>
            <w:r>
              <w:t xml:space="preserve">Soldering Station</w:t>
            </w:r>
          </w:p>
        </w:tc>
        <w:tc>
          <w:tcPr/>
          <w:p>
            <w:pPr>
              <w:pStyle w:val="Compact"/>
              <w:jc w:val="left"/>
            </w:pPr>
            <w:r>
              <w:t xml:space="preserve">Temperature-controlled</w:t>
            </w:r>
          </w:p>
        </w:tc>
        <w:tc>
          <w:tcPr/>
          <w:p>
            <w:pPr>
              <w:pStyle w:val="Compact"/>
              <w:jc w:val="left"/>
            </w:pPr>
            <w:r>
              <w:t xml:space="preserve">2</w:t>
            </w:r>
          </w:p>
        </w:tc>
      </w:tr>
      <w:tr>
        <w:tc>
          <w:tcPr/>
          <w:p>
            <w:pPr>
              <w:pStyle w:val="Compact"/>
              <w:jc w:val="left"/>
            </w:pPr>
            <w:r>
              <w:t xml:space="preserve">Components</w:t>
            </w:r>
          </w:p>
        </w:tc>
        <w:tc>
          <w:tcPr/>
          <w:p>
            <w:pPr>
              <w:pStyle w:val="Compact"/>
              <w:jc w:val="left"/>
            </w:pPr>
            <w:r>
              <w:t xml:space="preserve">Resistors, capacitors, ICs, etc.</w:t>
            </w:r>
          </w:p>
        </w:tc>
        <w:tc>
          <w:tcPr/>
          <w:p>
            <w:pPr>
              <w:pStyle w:val="Compact"/>
              <w:jc w:val="left"/>
            </w:pPr>
            <w:r>
              <w:t xml:space="preserve">As required</w:t>
            </w:r>
          </w:p>
        </w:tc>
      </w:tr>
    </w:tbl>
    <w:bookmarkEnd w:id="24"/>
    <w:bookmarkStart w:id="25" w:name="experimental-procedure"/>
    <w:p>
      <w:pPr>
        <w:pStyle w:val="Heading2"/>
      </w:pPr>
      <w:r>
        <w:t xml:space="preserve">6. Experimental Procedure</w:t>
      </w:r>
    </w:p>
    <w:p>
      <w:pPr>
        <w:pStyle w:val="FirstParagraph"/>
      </w:pPr>
      <w:r>
        <w:t xml:space="preserve">The following steps outline the general procedure for conducting electronic experiments:</w:t>
      </w:r>
    </w:p>
    <w:p>
      <w:pPr>
        <w:numPr>
          <w:ilvl w:val="0"/>
          <w:numId w:val="1003"/>
        </w:numPr>
        <w:pStyle w:val="Compact"/>
      </w:pPr>
      <w:r>
        <w:rPr>
          <w:bCs/>
          <w:b/>
        </w:rPr>
        <w:t xml:space="preserve">Preparation:</w:t>
      </w:r>
      <w:r>
        <w:t xml:space="preserve"> </w:t>
      </w:r>
      <w:r>
        <w:t xml:space="preserve">Review the experiment plan and ensure all necessary equipment and materials are available.</w:t>
      </w:r>
    </w:p>
    <w:p>
      <w:pPr>
        <w:numPr>
          <w:ilvl w:val="0"/>
          <w:numId w:val="1003"/>
        </w:numPr>
        <w:pStyle w:val="Compact"/>
      </w:pPr>
      <w:r>
        <w:rPr>
          <w:bCs/>
          <w:b/>
        </w:rPr>
        <w:t xml:space="preserve">Setup:</w:t>
      </w:r>
      <w:r>
        <w:t xml:space="preserve"> </w:t>
      </w:r>
      <w:r>
        <w:t xml:space="preserve">Assemble the circuit or system according to the design specifications. Double-check all connections.</w:t>
      </w:r>
    </w:p>
    <w:p>
      <w:pPr>
        <w:numPr>
          <w:ilvl w:val="0"/>
          <w:numId w:val="1003"/>
        </w:numPr>
        <w:pStyle w:val="Compact"/>
      </w:pPr>
      <w:r>
        <w:rPr>
          <w:bCs/>
          <w:b/>
        </w:rPr>
        <w:t xml:space="preserve">Calibration:</w:t>
      </w:r>
      <w:r>
        <w:t xml:space="preserve"> </w:t>
      </w:r>
      <w:r>
        <w:t xml:space="preserve">Calibrate all measurement instruments to ensure accuracy.</w:t>
      </w:r>
    </w:p>
    <w:p>
      <w:pPr>
        <w:numPr>
          <w:ilvl w:val="0"/>
          <w:numId w:val="1003"/>
        </w:numPr>
        <w:pStyle w:val="Compact"/>
      </w:pPr>
      <w:r>
        <w:rPr>
          <w:bCs/>
          <w:b/>
        </w:rPr>
        <w:t xml:space="preserve">Execution:</w:t>
      </w:r>
      <w:r>
        <w:t xml:space="preserve"> </w:t>
      </w:r>
      <w:r>
        <w:t xml:space="preserve">Power on the system and begin the experiment. Record all observations and data meticulously.</w:t>
      </w:r>
    </w:p>
    <w:p>
      <w:pPr>
        <w:numPr>
          <w:ilvl w:val="0"/>
          <w:numId w:val="1003"/>
        </w:numPr>
        <w:pStyle w:val="Compact"/>
      </w:pPr>
      <w:r>
        <w:rPr>
          <w:bCs/>
          <w:b/>
        </w:rPr>
        <w:t xml:space="preserve">Analysis:</w:t>
      </w:r>
      <w:r>
        <w:t xml:space="preserve"> </w:t>
      </w:r>
      <w:r>
        <w:t xml:space="preserve">Analyze the collected data to draw conclusions and verify hypotheses.</w:t>
      </w:r>
    </w:p>
    <w:p>
      <w:pPr>
        <w:numPr>
          <w:ilvl w:val="0"/>
          <w:numId w:val="1003"/>
        </w:numPr>
        <w:pStyle w:val="Compact"/>
      </w:pPr>
      <w:r>
        <w:rPr>
          <w:bCs/>
          <w:b/>
        </w:rPr>
        <w:t xml:space="preserve">Documentation:</w:t>
      </w:r>
      <w:r>
        <w:t xml:space="preserve"> </w:t>
      </w:r>
      <w:r>
        <w:t xml:space="preserve">Document all findings, including any anomalies or unexpected results.</w:t>
      </w:r>
    </w:p>
    <w:bookmarkEnd w:id="25"/>
    <w:bookmarkStart w:id="26" w:name="data-recording-and-analysis"/>
    <w:p>
      <w:pPr>
        <w:pStyle w:val="Heading2"/>
      </w:pPr>
      <w:r>
        <w:t xml:space="preserve">7. Data Recording and Analysis</w:t>
      </w:r>
    </w:p>
    <w:p>
      <w:pPr>
        <w:pStyle w:val="FirstParagraph"/>
      </w:pPr>
      <w:r>
        <w:t xml:space="preserve">Accurate data recording is crucial for the validity of the experiment. All data should be recorded in a standardized format and stored securely. Use digital tools for data analysis where possible to minimize human error. Ensure that all data is backed up regularly to prevent loss.</w:t>
      </w:r>
    </w:p>
    <w:bookmarkEnd w:id="26"/>
    <w:bookmarkStart w:id="27" w:name="compliance-with-local-regulations"/>
    <w:p>
      <w:pPr>
        <w:pStyle w:val="Heading2"/>
      </w:pPr>
      <w:r>
        <w:t xml:space="preserve">8. Compliance with Local Regulations</w:t>
      </w:r>
    </w:p>
    <w:p>
      <w:pPr>
        <w:pStyle w:val="FirstParagraph"/>
      </w:pPr>
      <w:r>
        <w:t xml:space="preserve">All experiments must comply with the regulations set by the relevant authorities in Thailand Bangkok. This includes environmental regulations, electrical safety standards, and any specific guidelines for research and development activities. Regular audits and inspections should be conducted to ensure ongoing compliance.</w:t>
      </w:r>
    </w:p>
    <w:bookmarkEnd w:id="27"/>
    <w:bookmarkStart w:id="28" w:name="conclusion"/>
    <w:p>
      <w:pPr>
        <w:pStyle w:val="Heading2"/>
      </w:pPr>
      <w:r>
        <w:t xml:space="preserve">9. Conclusion</w:t>
      </w:r>
    </w:p>
    <w:p>
      <w:pPr>
        <w:pStyle w:val="FirstParagraph"/>
      </w:pPr>
      <w:r>
        <w:t xml:space="preserve">This Experiment Protocol provides a comprehensive framework for Electronics Engineers in Thailand Bangkok to conduct safe, accurate, and compliant electronic experiments. By adhering to these guidelines, engineers can contribute to the advancement of technology while maintaining the highest standards of safety and professionalism.</w:t>
      </w:r>
    </w:p>
    <w:p>
      <w:pPr>
        <w:pStyle w:val="BodyText"/>
      </w:pPr>
      <w:r>
        <w:rPr>
          <w:bCs/>
          <w:b/>
        </w:rPr>
        <w:t xml:space="preserve">Note:</w:t>
      </w:r>
      <w:r>
        <w:t xml:space="preserve"> </w:t>
      </w:r>
      <w:r>
        <w:t xml:space="preserve">This document should be reviewed and updated regularly to reflect any changes in technology, regulations, or best practices.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Thailand Bangkok</dc:title>
  <dc:creator/>
  <dc:language>en</dc:language>
  <cp:keywords/>
  <dcterms:created xsi:type="dcterms:W3CDTF">2026-10-10T03:34:11Z</dcterms:created>
  <dcterms:modified xsi:type="dcterms:W3CDTF">2026-10-10T03:34:11Z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