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in Embedded Systems</w:t>
      </w:r>
    </w:p>
    <w:p>
      <w:pPr>
        <w:pStyle w:val="BodyText"/>
      </w:pPr>
      <w:r>
        <w:rPr>
          <w:bCs/>
          <w:b/>
        </w:rPr>
        <w:t xml:space="preserve">Location:</w:t>
      </w:r>
      <w:r>
        <w:t xml:space="preserve"> </w:t>
      </w:r>
      <w:r>
        <w:t xml:space="preserve">Ankara, Turkey (Technology Development Zone - TEKNOBİLGİ)</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ANK-EE-2023-042</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testing and validating high-frequency signal integrity in printed circuit boards (PCBs) designed for telecommunications infrastructure. The primary objective is to ensure that the hardware designs meet the rigorous electromagnetic compatibility (EMC) standards required by the Turkish Communication Authority (BTK) and international ISO norms.</w:t>
      </w:r>
    </w:p>
    <w:p>
      <w:pPr>
        <w:pStyle w:val="BodyText"/>
      </w:pPr>
      <w:r>
        <w:t xml:space="preserve">Conducted in Ankara, the capital of Turkey and a hub for defense and aerospace electronics, this protocol is specifically tailored for the Electronics Engineer responsible for the validation phase. The scope includes the measurement of crosstalk, reflection coefficients, and insertion loss on multi-layer PCBs operating at frequencies up to 5 GHz.</w:t>
      </w:r>
    </w:p>
    <w:bookmarkEnd w:id="21"/>
    <w:bookmarkStart w:id="22" w:name="roles-and-responsibilities"/>
    <w:p>
      <w:pPr>
        <w:pStyle w:val="Heading2"/>
      </w:pPr>
      <w:r>
        <w:t xml:space="preserve">2. Roles and Responsibilities</w:t>
      </w:r>
    </w:p>
    <w:p>
      <w:pPr>
        <w:pStyle w:val="FirstParagraph"/>
      </w:pPr>
      <w:r>
        <w:t xml:space="preserve">The primary role defined in this document is that of the</w:t>
      </w:r>
      <w:r>
        <w:t xml:space="preserve"> </w:t>
      </w:r>
      <w:r>
        <w:rPr>
          <w:bCs/>
          <w:b/>
        </w:rPr>
        <w:t xml:space="preserve">Electronics Engineer</w:t>
      </w:r>
      <w:r>
        <w:t xml:space="preserve">. In the context of this Ankara-based facility, the Electronics Engineer is expected to possess advanced knowledge of RF circuit design, proficiency with Vector Network Analyzers (VNA), and familiarity with local regulatory compliance.</w:t>
      </w:r>
    </w:p>
    <w:p>
      <w:pPr>
        <w:pStyle w:val="BodyText"/>
      </w:pPr>
      <w:r>
        <w:rPr>
          <w:bCs/>
          <w:b/>
        </w:rPr>
        <w:t xml:space="preserve">Responsibilities of the Electronics Engineer:</w:t>
      </w:r>
    </w:p>
    <w:p>
      <w:pPr>
        <w:numPr>
          <w:ilvl w:val="0"/>
          <w:numId w:val="1001"/>
        </w:numPr>
        <w:pStyle w:val="Compact"/>
      </w:pPr>
      <w:r>
        <w:t xml:space="preserve">Calibration of all test equipment prior to the commencement of the experiment.</w:t>
      </w:r>
    </w:p>
    <w:p>
      <w:pPr>
        <w:numPr>
          <w:ilvl w:val="0"/>
          <w:numId w:val="1001"/>
        </w:numPr>
        <w:pStyle w:val="Compact"/>
      </w:pPr>
      <w:r>
        <w:t xml:space="preserve">Execution of the test sequences as defined in Section 4.</w:t>
      </w:r>
    </w:p>
    <w:p>
      <w:pPr>
        <w:numPr>
          <w:ilvl w:val="0"/>
          <w:numId w:val="1001"/>
        </w:numPr>
        <w:pStyle w:val="Compact"/>
      </w:pPr>
      <w:r>
        <w:t xml:space="preserve">Documentation of all anomalies and deviations from expected performance metrics.</w:t>
      </w:r>
    </w:p>
    <w:p>
      <w:pPr>
        <w:numPr>
          <w:ilvl w:val="0"/>
          <w:numId w:val="1001"/>
        </w:numPr>
        <w:pStyle w:val="Compact"/>
      </w:pPr>
      <w:r>
        <w:t xml:space="preserve">Ensuring that all safety protocols regarding high-voltage and RF radiation are strictly adhered to.</w:t>
      </w:r>
    </w:p>
    <w:bookmarkEnd w:id="22"/>
    <w:bookmarkStart w:id="23" w:name="equipment-and-environment"/>
    <w:p>
      <w:pPr>
        <w:pStyle w:val="Heading2"/>
      </w:pPr>
      <w:r>
        <w:t xml:space="preserve">3. Equipment and Environment</w:t>
      </w:r>
    </w:p>
    <w:p>
      <w:pPr>
        <w:pStyle w:val="FirstParagraph"/>
      </w:pPr>
      <w:r>
        <w:t xml:space="preserve">The experiment will be conducted in a shielded anechoic chamber located within the Ankara Technology Development Zone. This environment is critical to minimize external electromagnetic interference, which is common in urban centers.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Name</w:t>
            </w:r>
          </w:p>
        </w:tc>
        <w:tc>
          <w:tcPr/>
          <w:p>
            <w:pPr>
              <w:pStyle w:val="Compact"/>
              <w:jc w:val="left"/>
            </w:pPr>
            <w:r>
              <w:t xml:space="preserve">Model/Specification</w:t>
            </w:r>
          </w:p>
        </w:tc>
        <w:tc>
          <w:tcPr/>
          <w:p>
            <w:pPr>
              <w:pStyle w:val="Compact"/>
              <w:jc w:val="left"/>
            </w:pPr>
            <w:r>
              <w:t xml:space="preserve">Purpose</w:t>
            </w:r>
          </w:p>
        </w:tc>
      </w:tr>
      <w:tr>
        <w:tc>
          <w:tcPr/>
          <w:p>
            <w:pPr>
              <w:pStyle w:val="Compact"/>
              <w:jc w:val="left"/>
            </w:pPr>
            <w:r>
              <w:t xml:space="preserve">Vector Network Analyzer</w:t>
            </w:r>
          </w:p>
        </w:tc>
        <w:tc>
          <w:tcPr/>
          <w:p>
            <w:pPr>
              <w:pStyle w:val="Compact"/>
              <w:jc w:val="left"/>
            </w:pPr>
            <w:r>
              <w:t xml:space="preserve">Keysight PNA Series</w:t>
            </w:r>
          </w:p>
        </w:tc>
        <w:tc>
          <w:tcPr/>
          <w:p>
            <w:pPr>
              <w:pStyle w:val="Compact"/>
              <w:jc w:val="left"/>
            </w:pPr>
            <w:r>
              <w:t xml:space="preserve">Measuring S-parameters (S11, S21) for signal integrity.</w:t>
            </w:r>
          </w:p>
        </w:tc>
      </w:tr>
      <w:tr>
        <w:tc>
          <w:tcPr/>
          <w:p>
            <w:pPr>
              <w:pStyle w:val="Compact"/>
              <w:jc w:val="left"/>
            </w:pPr>
            <w:r>
              <w:t xml:space="preserve">Oscilloscope</w:t>
            </w:r>
          </w:p>
        </w:tc>
        <w:tc>
          <w:tcPr/>
          <w:p>
            <w:pPr>
              <w:pStyle w:val="Compact"/>
              <w:jc w:val="left"/>
            </w:pPr>
            <w:r>
              <w:t xml:space="preserve">LeCroy WaveRunner 8 Zi-B</w:t>
            </w:r>
          </w:p>
        </w:tc>
        <w:tc>
          <w:tcPr/>
          <w:p>
            <w:pPr>
              <w:pStyle w:val="Compact"/>
              <w:jc w:val="left"/>
            </w:pPr>
            <w:r>
              <w:t xml:space="preserve">Time-domain analysis of signal rise/fall times.</w:t>
            </w:r>
          </w:p>
        </w:tc>
      </w:tr>
      <w:tr>
        <w:tc>
          <w:tcPr/>
          <w:p>
            <w:pPr>
              <w:pStyle w:val="Compact"/>
              <w:jc w:val="left"/>
            </w:pPr>
            <w:r>
              <w:t xml:space="preserve">Spectrum Analyzer</w:t>
            </w:r>
          </w:p>
        </w:tc>
        <w:tc>
          <w:tcPr/>
          <w:p>
            <w:pPr>
              <w:pStyle w:val="Compact"/>
              <w:jc w:val="left"/>
            </w:pPr>
            <w:r>
              <w:t xml:space="preserve">Rohde &amp; Schwarz FSW</w:t>
            </w:r>
          </w:p>
        </w:tc>
        <w:tc>
          <w:tcPr/>
          <w:p>
            <w:pPr>
              <w:pStyle w:val="Compact"/>
              <w:jc w:val="left"/>
            </w:pPr>
            <w:r>
              <w:t xml:space="preserve">EMC pre-compliance testing.</w:t>
            </w:r>
          </w:p>
        </w:tc>
      </w:tr>
      <w:tr>
        <w:tc>
          <w:tcPr/>
          <w:p>
            <w:pPr>
              <w:pStyle w:val="Compact"/>
              <w:jc w:val="left"/>
            </w:pPr>
            <w:r>
              <w:t xml:space="preserve">Power Supply</w:t>
            </w:r>
          </w:p>
        </w:tc>
        <w:tc>
          <w:tcPr/>
          <w:p>
            <w:pPr>
              <w:pStyle w:val="Compact"/>
              <w:jc w:val="left"/>
            </w:pPr>
            <w:r>
              <w:t xml:space="preserve">Programmable DC Source</w:t>
            </w:r>
          </w:p>
        </w:tc>
        <w:tc>
          <w:tcPr/>
          <w:p>
            <w:pPr>
              <w:pStyle w:val="Compact"/>
              <w:jc w:val="left"/>
            </w:pPr>
            <w:r>
              <w:t xml:space="preserve">Providing stable power to the Device Under Test (DUT).</w:t>
            </w:r>
          </w:p>
        </w:tc>
      </w:tr>
    </w:tbl>
    <w:bookmarkEnd w:id="23"/>
    <w:bookmarkStart w:id="28" w:name="experimental-procedure"/>
    <w:p>
      <w:pPr>
        <w:pStyle w:val="Heading2"/>
      </w:pPr>
      <w:r>
        <w:t xml:space="preserve">4. Experimental Procedure</w:t>
      </w:r>
    </w:p>
    <w:p>
      <w:pPr>
        <w:pStyle w:val="FirstParagraph"/>
      </w:pPr>
      <w:r>
        <w:t xml:space="preserve">The Electronics Engineer must follow these steps sequentially. Any deviation requires immediate documentation and approval from the project lead.</w:t>
      </w:r>
    </w:p>
    <w:bookmarkStart w:id="24" w:name="pre-test-calibration"/>
    <w:p>
      <w:pPr>
        <w:pStyle w:val="Heading3"/>
      </w:pPr>
      <w:r>
        <w:t xml:space="preserve">4.1. Pre-Test Calibration</w:t>
      </w:r>
    </w:p>
    <w:p>
      <w:pPr>
        <w:pStyle w:val="FirstParagraph"/>
      </w:pPr>
      <w:r>
        <w:t xml:space="preserve">Before connecting the Device Under Test (DUT), the Electronics Engineer must perform a full SOLT (Short-Open-Load-Through) calibration on the Vector Network Analyzer. This step is vital to eliminate systematic errors introduced by cables and connectors. Given the high precision required in Ankara's defense sector projects, calibration standards must be verified against national metrology institute references.</w:t>
      </w:r>
    </w:p>
    <w:bookmarkEnd w:id="24"/>
    <w:bookmarkStart w:id="25" w:name="device-setup"/>
    <w:p>
      <w:pPr>
        <w:pStyle w:val="Heading3"/>
      </w:pPr>
      <w:r>
        <w:t xml:space="preserve">4.2. Device Setup</w:t>
      </w:r>
    </w:p>
    <w:p>
      <w:pPr>
        <w:pStyle w:val="FirstParagraph"/>
      </w:pPr>
      <w:r>
        <w:t xml:space="preserve">Mount the PCB onto the test fixture. Ensure that all grounding points are secure to prevent ground loops. Connect the RF probes to the designated test pads. The Electronics Engineer must visually inspect the board for any manufacturing defects, such as cold solder joints or trace damage, which are common failure points in high-density interconnects.</w:t>
      </w:r>
    </w:p>
    <w:bookmarkEnd w:id="25"/>
    <w:bookmarkStart w:id="26" w:name="signal-integrity-measurement"/>
    <w:p>
      <w:pPr>
        <w:pStyle w:val="Heading3"/>
      </w:pPr>
      <w:r>
        <w:t xml:space="preserve">4.3. Signal Integrity Measurement</w:t>
      </w:r>
    </w:p>
    <w:p>
      <w:pPr>
        <w:pStyle w:val="FirstParagraph"/>
      </w:pPr>
      <w:r>
        <w:t xml:space="preserve">Initiate the sweep from 100 MHz to 5 GHz. Record the S11 (Return Loss) and S21 (Insertion Loss) parameters. The Electronics Engineer should analyze the data for resonance peaks that indicate impedance mismatches. If the return loss is worse than -10 dB at any critical frequency, the test must be paused for further investigation.</w:t>
      </w:r>
    </w:p>
    <w:bookmarkEnd w:id="26"/>
    <w:bookmarkStart w:id="27" w:name="crosstalk-analysis"/>
    <w:p>
      <w:pPr>
        <w:pStyle w:val="Heading3"/>
      </w:pPr>
      <w:r>
        <w:t xml:space="preserve">4.4. Crosstalk Analysis</w:t>
      </w:r>
    </w:p>
    <w:p>
      <w:pPr>
        <w:pStyle w:val="FirstParagraph"/>
      </w:pPr>
      <w:r>
        <w:t xml:space="preserve">Activate the adjacent signal lines to measure Near-End Crosstalk (NEXT) and Far-End Crosstalk (FEXT). This is crucial for ensuring that high-speed data buses do not interfere with sensitive analog circuits. The results must be compared against the design simulation data generated during the initial CAD phase.</w:t>
      </w:r>
    </w:p>
    <w:bookmarkEnd w:id="27"/>
    <w:bookmarkEnd w:id="28"/>
    <w:bookmarkStart w:id="29" w:name="safety-and-compliance"/>
    <w:p>
      <w:pPr>
        <w:pStyle w:val="Heading2"/>
      </w:pPr>
      <w:r>
        <w:t xml:space="preserve">5. Safety and Compliance</w:t>
      </w:r>
    </w:p>
    <w:p>
      <w:pPr>
        <w:pStyle w:val="FirstParagraph"/>
      </w:pPr>
      <w:r>
        <w:t xml:space="preserve">Safety is paramount in this Experiment Protocol. The Electronics Engineer must wear appropriate Personal Protective Equipment (PPE), including anti-static wrist straps and safety glasses. Since the tests involve RF energy, the engineer must ensure that the anechoic chamber doors are sealed to prevent radiation leakage.</w:t>
      </w:r>
    </w:p>
    <w:p>
      <w:pPr>
        <w:pStyle w:val="BodyText"/>
      </w:pPr>
      <w:r>
        <w:t xml:space="preserve">Furthermore, all waste materials, including leaded solder and electronic components, must be disposed of according to the Turkish Environmental Law No. 2872. The facility in Ankara adheres to strict environmental regulations, and non-compliance can result in severe penalties.</w:t>
      </w:r>
    </w:p>
    <w:bookmarkEnd w:id="29"/>
    <w:bookmarkStart w:id="30" w:name="data-analysis-and-reporting"/>
    <w:p>
      <w:pPr>
        <w:pStyle w:val="Heading2"/>
      </w:pPr>
      <w:r>
        <w:t xml:space="preserve">6. Data Analysis and Reporting</w:t>
      </w:r>
    </w:p>
    <w:p>
      <w:pPr>
        <w:pStyle w:val="FirstParagraph"/>
      </w:pPr>
      <w:r>
        <w:t xml:space="preserve">Upon completion of the tests, the Electronics Engineer is responsible for compiling a comprehensive report. This report should include:</w:t>
      </w:r>
    </w:p>
    <w:p>
      <w:pPr>
        <w:numPr>
          <w:ilvl w:val="0"/>
          <w:numId w:val="1002"/>
        </w:numPr>
        <w:pStyle w:val="Compact"/>
      </w:pPr>
      <w:r>
        <w:t xml:space="preserve">Raw data files from all instruments.</w:t>
      </w:r>
    </w:p>
    <w:p>
      <w:pPr>
        <w:numPr>
          <w:ilvl w:val="0"/>
          <w:numId w:val="1002"/>
        </w:numPr>
        <w:pStyle w:val="Compact"/>
      </w:pPr>
      <w:r>
        <w:t xml:space="preserve">Graphical representations of S-parameters and time-domain waveforms.</w:t>
      </w:r>
    </w:p>
    <w:p>
      <w:pPr>
        <w:numPr>
          <w:ilvl w:val="0"/>
          <w:numId w:val="1002"/>
        </w:numPr>
        <w:pStyle w:val="Compact"/>
      </w:pPr>
      <w:r>
        <w:t xml:space="preserve">A comparison of measured results versus design specifications.</w:t>
      </w:r>
    </w:p>
    <w:p>
      <w:pPr>
        <w:numPr>
          <w:ilvl w:val="0"/>
          <w:numId w:val="1002"/>
        </w:numPr>
        <w:pStyle w:val="Compact"/>
      </w:pPr>
      <w:r>
        <w:t xml:space="preserve">Recommendations for design improvements if the DUT fails to meet criteria.</w:t>
      </w:r>
    </w:p>
    <w:p>
      <w:pPr>
        <w:pStyle w:val="FirstParagraph"/>
      </w:pPr>
      <w:r>
        <w:t xml:space="preserve">The report must be submitted to the project management team within 48 hours. In the context of Ankara's competitive electronics market, timely and accurate reporting is essential for maintaining project timelines and client trust.</w:t>
      </w:r>
    </w:p>
    <w:bookmarkEnd w:id="30"/>
    <w:bookmarkStart w:id="31" w:name="conclusion"/>
    <w:p>
      <w:pPr>
        <w:pStyle w:val="Heading2"/>
      </w:pPr>
      <w:r>
        <w:t xml:space="preserve">7. Conclusion</w:t>
      </w:r>
    </w:p>
    <w:p>
      <w:pPr>
        <w:pStyle w:val="FirstParagraph"/>
      </w:pPr>
      <w:r>
        <w:t xml:space="preserve">This Experiment Protocol serves as the definitive guide for the Electronics Engineer conducting signal integrity tests in Ankara, Turkey. By adhering to these procedures, the engineer ensures that the electronic systems developed are robust, reliable, and compliant with both local and international standards. The rigorous application of this protocol contributes to the advancement of Turkey's electronics industry and reinforces Ankara's position as a leading center for technological innovation.</w:t>
      </w:r>
    </w:p>
    <w:bookmarkEnd w:id="31"/>
    <w:p>
      <w:pPr>
        <w:pStyle w:val="BodyText"/>
      </w:pPr>
      <w:r>
        <w:rPr>
          <w:bCs/>
          <w:b/>
        </w:rPr>
        <w:t xml:space="preserve">Prepared by:</w:t>
      </w:r>
    </w:p>
    <w:p>
      <w:pPr>
        <w:pStyle w:val="BodyText"/>
      </w:pPr>
      <w:r>
        <w:t xml:space="preserve">__________________________</w:t>
      </w:r>
    </w:p>
    <w:p>
      <w:pPr>
        <w:pStyle w:val="BodyText"/>
      </w:pPr>
      <w:r>
        <w:t xml:space="preserve">Lead Electronics Engineer</w:t>
      </w:r>
    </w:p>
    <w:p>
      <w:pPr>
        <w:pStyle w:val="BodyText"/>
      </w:pPr>
      <w:r>
        <w:t xml:space="preserve">Ankara Technology Development Zone</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Project Director</w:t>
      </w:r>
    </w:p>
    <w:p>
      <w:pPr>
        <w:pStyle w:val="BodyText"/>
      </w:pPr>
      <w:r>
        <w:t xml:space="preserve">Date: 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Ankara, Turkey</dc:title>
  <dc:creator/>
  <dc:language>en</dc:language>
  <cp:keywords/>
  <dcterms:created xsi:type="dcterms:W3CDTF">2026-10-10T01:40:34Z</dcterms:created>
  <dcterms:modified xsi:type="dcterms:W3CDTF">2026-10-10T01:40:34Z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