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p>
      <w:pPr>
        <w:pStyle w:val="BodyText"/>
      </w:pPr>
      <w:r>
        <w:rPr>
          <w:bCs/>
          <w:b/>
        </w:rPr>
        <w:t xml:space="preserve">Document ID:</w:t>
      </w:r>
      <w:r>
        <w:t xml:space="preserve"> </w:t>
      </w:r>
      <w:r>
        <w:t xml:space="preserve">EP-ELE-AD-2023-001</w:t>
      </w:r>
    </w:p>
    <w:bookmarkEnd w:id="20"/>
    <w:p>
      <w:pPr>
        <w:pStyle w:val="BodyText"/>
      </w:pPr>
      <w:r>
        <w:t xml:space="preserve">1. Introduction</w:t>
      </w:r>
    </w:p>
    <w:p>
      <w:pPr>
        <w:pStyle w:val="BodyText"/>
      </w:pPr>
      <w:r>
        <w:t xml:space="preserve">This Experiment Protocol outlines the procedures, safety measures, and technical requirements for conducting electronic experiments and testing in Abu Dhabi, United Arab Emirates. It is designed for Electronics Engineers working in research, development, or industrial settings within the region. The protocol ensures compliance with local regulations, international standards, and best practices in electronics engineering.</w:t>
      </w:r>
    </w:p>
    <w:p>
      <w:pPr>
        <w:pStyle w:val="BodyText"/>
      </w:pPr>
      <w:r>
        <w:t xml:space="preserve">2. Objectives</w:t>
      </w:r>
    </w:p>
    <w:p>
      <w:pPr>
        <w:pStyle w:val="BodyText"/>
      </w:pPr>
      <w:r>
        <w:t xml:space="preserve">The primary objectives of this protocol are:</w:t>
      </w:r>
    </w:p>
    <w:p>
      <w:pPr>
        <w:numPr>
          <w:ilvl w:val="0"/>
          <w:numId w:val="1001"/>
        </w:numPr>
        <w:pStyle w:val="Compact"/>
      </w:pPr>
      <w:r>
        <w:t xml:space="preserve">To establish a standardized approach for conducting electronic experiments in Abu Dhabi.</w:t>
      </w:r>
    </w:p>
    <w:p>
      <w:pPr>
        <w:numPr>
          <w:ilvl w:val="0"/>
          <w:numId w:val="1001"/>
        </w:numPr>
        <w:pStyle w:val="Compact"/>
      </w:pPr>
      <w:r>
        <w:t xml:space="preserve">To ensure the safety of personnel, equipment, and the environment.</w:t>
      </w:r>
    </w:p>
    <w:p>
      <w:pPr>
        <w:numPr>
          <w:ilvl w:val="0"/>
          <w:numId w:val="1001"/>
        </w:numPr>
        <w:pStyle w:val="Compact"/>
      </w:pPr>
      <w:r>
        <w:t xml:space="preserve">To maintain data integrity and reproducibility of results.</w:t>
      </w:r>
    </w:p>
    <w:p>
      <w:pPr>
        <w:numPr>
          <w:ilvl w:val="0"/>
          <w:numId w:val="1001"/>
        </w:numPr>
        <w:pStyle w:val="Compact"/>
      </w:pPr>
      <w:r>
        <w:t xml:space="preserve">To comply with UAE regulations, including those set by the Department of Energy (DoE) and the Emirates Authority for Standardization and Metrology (ESMA).</w:t>
      </w:r>
    </w:p>
    <w:p>
      <w:pPr>
        <w:pStyle w:val="FirstParagraph"/>
      </w:pPr>
      <w:r>
        <w:t xml:space="preserve">3. Scope</w:t>
      </w:r>
    </w:p>
    <w:p>
      <w:pPr>
        <w:pStyle w:val="BodyText"/>
      </w:pPr>
      <w:r>
        <w:t xml:space="preserve">This protocol applies to all Electronics Engineers conducting experiments involving:</w:t>
      </w:r>
    </w:p>
    <w:p>
      <w:pPr>
        <w:numPr>
          <w:ilvl w:val="0"/>
          <w:numId w:val="1002"/>
        </w:numPr>
        <w:pStyle w:val="Compact"/>
      </w:pPr>
      <w:r>
        <w:t xml:space="preserve">Circuit design and testing.</w:t>
      </w:r>
    </w:p>
    <w:p>
      <w:pPr>
        <w:numPr>
          <w:ilvl w:val="0"/>
          <w:numId w:val="1002"/>
        </w:numPr>
        <w:pStyle w:val="Compact"/>
      </w:pPr>
      <w:r>
        <w:t xml:space="preserve">Embedded systems development.</w:t>
      </w:r>
    </w:p>
    <w:p>
      <w:pPr>
        <w:numPr>
          <w:ilvl w:val="0"/>
          <w:numId w:val="1002"/>
        </w:numPr>
        <w:pStyle w:val="Compact"/>
      </w:pPr>
      <w:r>
        <w:t xml:space="preserve">Power electronics and energy systems.</w:t>
      </w:r>
    </w:p>
    <w:p>
      <w:pPr>
        <w:numPr>
          <w:ilvl w:val="0"/>
          <w:numId w:val="1002"/>
        </w:numPr>
        <w:pStyle w:val="Compact"/>
      </w:pPr>
      <w:r>
        <w:t xml:space="preserve">Signal processing and communication systems.</w:t>
      </w:r>
    </w:p>
    <w:p>
      <w:pPr>
        <w:numPr>
          <w:ilvl w:val="0"/>
          <w:numId w:val="1002"/>
        </w:numPr>
        <w:pStyle w:val="Compact"/>
      </w:pPr>
      <w:r>
        <w:t xml:space="preserve">Prototyping and validation of electronic devices.</w:t>
      </w:r>
    </w:p>
    <w:p>
      <w:pPr>
        <w:pStyle w:val="FirstParagraph"/>
      </w:pPr>
      <w:r>
        <w:t xml:space="preserve">The scope includes laboratory settings, field testing, and industrial environments within Abu Dhabi.</w:t>
      </w:r>
    </w:p>
    <w:p>
      <w:pPr>
        <w:pStyle w:val="BodyText"/>
      </w:pPr>
      <w:r>
        <w:t xml:space="preserve">4. Regulatory Compliance</w:t>
      </w:r>
    </w:p>
    <w:p>
      <w:pPr>
        <w:pStyle w:val="BodyText"/>
      </w:pPr>
      <w:r>
        <w:t xml:space="preserve">All experiments must adhere to the following regulations and standards:</w:t>
      </w:r>
    </w:p>
    <w:p>
      <w:pPr>
        <w:numPr>
          <w:ilvl w:val="0"/>
          <w:numId w:val="1003"/>
        </w:numPr>
        <w:pStyle w:val="Compact"/>
      </w:pPr>
      <w:r>
        <w:rPr>
          <w:bCs/>
          <w:b/>
        </w:rPr>
        <w:t xml:space="preserve">UAE Federal Law No. 1 of 2017:</w:t>
      </w:r>
      <w:r>
        <w:t xml:space="preserve"> </w:t>
      </w:r>
      <w:r>
        <w:t xml:space="preserve">Concerning the Protection of the Environment.</w:t>
      </w:r>
    </w:p>
    <w:p>
      <w:pPr>
        <w:numPr>
          <w:ilvl w:val="0"/>
          <w:numId w:val="1003"/>
        </w:numPr>
        <w:pStyle w:val="Compact"/>
      </w:pPr>
      <w:r>
        <w:rPr>
          <w:bCs/>
          <w:b/>
        </w:rPr>
        <w:t xml:space="preserve">ESMA Standards:</w:t>
      </w:r>
      <w:r>
        <w:t xml:space="preserve"> </w:t>
      </w:r>
      <w:r>
        <w:t xml:space="preserve">For electrical safety and product certification.</w:t>
      </w:r>
    </w:p>
    <w:p>
      <w:pPr>
        <w:numPr>
          <w:ilvl w:val="0"/>
          <w:numId w:val="1003"/>
        </w:numPr>
        <w:pStyle w:val="Compact"/>
      </w:pPr>
      <w:r>
        <w:rPr>
          <w:bCs/>
          <w:b/>
        </w:rPr>
        <w:t xml:space="preserve">IEC Standards:</w:t>
      </w:r>
      <w:r>
        <w:t xml:space="preserve"> </w:t>
      </w:r>
      <w:r>
        <w:t xml:space="preserve">International Electrotechnical Commission guidelines for electronics.</w:t>
      </w:r>
    </w:p>
    <w:p>
      <w:pPr>
        <w:numPr>
          <w:ilvl w:val="0"/>
          <w:numId w:val="1003"/>
        </w:numPr>
        <w:pStyle w:val="Compact"/>
      </w:pPr>
      <w:r>
        <w:rPr>
          <w:bCs/>
          <w:b/>
        </w:rPr>
        <w:t xml:space="preserve">Abu Dhabi Department of Energy (DoE) Guidelines:</w:t>
      </w:r>
      <w:r>
        <w:t xml:space="preserve"> </w:t>
      </w:r>
      <w:r>
        <w:t xml:space="preserve">For energy efficiency and sustainability.</w:t>
      </w:r>
    </w:p>
    <w:p>
      <w:pPr>
        <w:pStyle w:val="FirstParagraph"/>
      </w:pPr>
      <w:r>
        <w:t xml:space="preserve">5. Safety Procedures</w:t>
      </w:r>
    </w:p>
    <w:p>
      <w:pPr>
        <w:pStyle w:val="BodyText"/>
      </w:pPr>
      <w:r>
        <w:t xml:space="preserve">Safety is paramount in all electronic experiments. The following procedures must be followed:</w:t>
      </w:r>
    </w:p>
    <w:p>
      <w:pPr>
        <w:numPr>
          <w:ilvl w:val="0"/>
          <w:numId w:val="1004"/>
        </w:numPr>
        <w:pStyle w:val="Compact"/>
      </w:pPr>
      <w:r>
        <w:rPr>
          <w:bCs/>
          <w:b/>
        </w:rPr>
        <w:t xml:space="preserve">Personal Protective Equipment (PPE):</w:t>
      </w:r>
      <w:r>
        <w:t xml:space="preserve"> </w:t>
      </w:r>
      <w:r>
        <w:t xml:space="preserve">Engineers must wear appropriate PPE, including safety glasses, insulated gloves, and anti-static wristbands.</w:t>
      </w:r>
    </w:p>
    <w:p>
      <w:pPr>
        <w:numPr>
          <w:ilvl w:val="0"/>
          <w:numId w:val="1004"/>
        </w:numPr>
        <w:pStyle w:val="Compact"/>
      </w:pPr>
      <w:r>
        <w:rPr>
          <w:bCs/>
          <w:b/>
        </w:rPr>
        <w:t xml:space="preserve">Electrical Safety:</w:t>
      </w:r>
      <w:r>
        <w:t xml:space="preserve"> </w:t>
      </w:r>
      <w:r>
        <w:t xml:space="preserve">Ensure all equipment is properly grounded. Use lockout/tagout procedures when working with high-voltage systems.</w:t>
      </w:r>
    </w:p>
    <w:p>
      <w:pPr>
        <w:numPr>
          <w:ilvl w:val="0"/>
          <w:numId w:val="1004"/>
        </w:numPr>
        <w:pStyle w:val="Compact"/>
      </w:pPr>
      <w:r>
        <w:rPr>
          <w:bCs/>
          <w:b/>
        </w:rPr>
        <w:t xml:space="preserve">Fire Safety:</w:t>
      </w:r>
      <w:r>
        <w:t xml:space="preserve"> </w:t>
      </w:r>
      <w:r>
        <w:t xml:space="preserve">Keep fire extinguishers rated for electrical fires (Class C) accessible. Avoid flammable materials near heat-generating components.</w:t>
      </w:r>
    </w:p>
    <w:p>
      <w:pPr>
        <w:numPr>
          <w:ilvl w:val="0"/>
          <w:numId w:val="1004"/>
        </w:numPr>
        <w:pStyle w:val="Compact"/>
      </w:pPr>
      <w:r>
        <w:rPr>
          <w:bCs/>
          <w:b/>
        </w:rPr>
        <w:t xml:space="preserve">Environmental Controls:</w:t>
      </w:r>
      <w:r>
        <w:t xml:space="preserve"> </w:t>
      </w:r>
      <w:r>
        <w:t xml:space="preserve">Maintain laboratory temperature and humidity within specified ranges to prevent equipment damage and ensure accurate results.</w:t>
      </w:r>
    </w:p>
    <w:p>
      <w:pPr>
        <w:pStyle w:val="FirstParagraph"/>
      </w:pPr>
      <w:r>
        <w:t xml:space="preserve">6. Equipment and Materials</w:t>
      </w:r>
    </w:p>
    <w:p>
      <w:pPr>
        <w:pStyle w:val="BodyText"/>
      </w:pPr>
      <w:r>
        <w:t xml:space="preserve">All equipment used in experiments must be calibrated and certified. The following tools are commonly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Purpose</w:t>
            </w:r>
          </w:p>
        </w:tc>
        <w:tc>
          <w:tcPr/>
          <w:p>
            <w:pPr>
              <w:pStyle w:val="Compact"/>
              <w:jc w:val="left"/>
            </w:pPr>
            <w:r>
              <w:t xml:space="preserve">Calibration Frequency</w:t>
            </w:r>
          </w:p>
        </w:tc>
      </w:tr>
      <w:tr>
        <w:tc>
          <w:tcPr/>
          <w:p>
            <w:pPr>
              <w:pStyle w:val="Compact"/>
              <w:jc w:val="left"/>
            </w:pPr>
            <w:r>
              <w:t xml:space="preserve">Oscilloscope</w:t>
            </w:r>
          </w:p>
        </w:tc>
        <w:tc>
          <w:tcPr/>
          <w:p>
            <w:pPr>
              <w:pStyle w:val="Compact"/>
              <w:jc w:val="left"/>
            </w:pPr>
            <w:r>
              <w:t xml:space="preserve">Signal analysis</w:t>
            </w:r>
          </w:p>
        </w:tc>
        <w:tc>
          <w:tcPr/>
          <w:p>
            <w:pPr>
              <w:pStyle w:val="Compact"/>
              <w:jc w:val="left"/>
            </w:pPr>
            <w:r>
              <w:t xml:space="preserve">Annually</w:t>
            </w:r>
          </w:p>
        </w:tc>
      </w:tr>
      <w:tr>
        <w:tc>
          <w:tcPr/>
          <w:p>
            <w:pPr>
              <w:pStyle w:val="Compact"/>
              <w:jc w:val="left"/>
            </w:pPr>
            <w:r>
              <w:t xml:space="preserve">Power Supply</w:t>
            </w:r>
          </w:p>
        </w:tc>
        <w:tc>
          <w:tcPr/>
          <w:p>
            <w:pPr>
              <w:pStyle w:val="Compact"/>
              <w:jc w:val="left"/>
            </w:pPr>
            <w:r>
              <w:t xml:space="preserve">Voltage and current regulation</w:t>
            </w:r>
          </w:p>
        </w:tc>
        <w:tc>
          <w:tcPr/>
          <w:p>
            <w:pPr>
              <w:pStyle w:val="Compact"/>
              <w:jc w:val="left"/>
            </w:pPr>
            <w:r>
              <w:t xml:space="preserve">Annually</w:t>
            </w:r>
          </w:p>
        </w:tc>
      </w:tr>
      <w:tr>
        <w:tc>
          <w:tcPr/>
          <w:p>
            <w:pPr>
              <w:pStyle w:val="Compact"/>
              <w:jc w:val="left"/>
            </w:pPr>
            <w:r>
              <w:t xml:space="preserve">Multimeter</w:t>
            </w:r>
          </w:p>
        </w:tc>
        <w:tc>
          <w:tcPr/>
          <w:p>
            <w:pPr>
              <w:pStyle w:val="Compact"/>
              <w:jc w:val="left"/>
            </w:pPr>
            <w:r>
              <w:t xml:space="preserve">Electrical measurements</w:t>
            </w:r>
          </w:p>
        </w:tc>
        <w:tc>
          <w:tcPr/>
          <w:p>
            <w:pPr>
              <w:pStyle w:val="Compact"/>
              <w:jc w:val="left"/>
            </w:pPr>
            <w:r>
              <w:t xml:space="preserve">Semi-annually</w:t>
            </w:r>
          </w:p>
        </w:tc>
      </w:tr>
      <w:tr>
        <w:tc>
          <w:tcPr/>
          <w:p>
            <w:pPr>
              <w:pStyle w:val="Compact"/>
              <w:jc w:val="left"/>
            </w:pPr>
            <w:r>
              <w:t xml:space="preserve">Soldering Station</w:t>
            </w:r>
          </w:p>
        </w:tc>
        <w:tc>
          <w:tcPr/>
          <w:p>
            <w:pPr>
              <w:pStyle w:val="Compact"/>
              <w:jc w:val="left"/>
            </w:pPr>
            <w:r>
              <w:t xml:space="preserve">Circuit assembly</w:t>
            </w:r>
          </w:p>
        </w:tc>
        <w:tc>
          <w:tcPr/>
          <w:p>
            <w:pPr>
              <w:pStyle w:val="Compact"/>
              <w:jc w:val="left"/>
            </w:pPr>
            <w:r>
              <w:t xml:space="preserve">As needed</w:t>
            </w:r>
          </w:p>
        </w:tc>
      </w:tr>
    </w:tbl>
    <w:p>
      <w:pPr>
        <w:pStyle w:val="BodyText"/>
      </w:pPr>
      <w:r>
        <w:t xml:space="preserve">7. Experimental Procedure</w:t>
      </w:r>
    </w:p>
    <w:p>
      <w:pPr>
        <w:pStyle w:val="BodyText"/>
      </w:pPr>
      <w:r>
        <w:t xml:space="preserve">The following steps outline the general procedure for conducting experiments:</w:t>
      </w:r>
    </w:p>
    <w:p>
      <w:pPr>
        <w:numPr>
          <w:ilvl w:val="0"/>
          <w:numId w:val="1005"/>
        </w:numPr>
        <w:pStyle w:val="Compact"/>
      </w:pPr>
      <w:r>
        <w:rPr>
          <w:bCs/>
          <w:b/>
        </w:rPr>
        <w:t xml:space="preserve">Preparation:</w:t>
      </w:r>
      <w:r>
        <w:t xml:space="preserve"> </w:t>
      </w:r>
      <w:r>
        <w:t xml:space="preserve">Review the experiment plan, ensure all equipment is available, and verify safety measures.</w:t>
      </w:r>
    </w:p>
    <w:p>
      <w:pPr>
        <w:numPr>
          <w:ilvl w:val="0"/>
          <w:numId w:val="1005"/>
        </w:numPr>
        <w:pStyle w:val="Compact"/>
      </w:pPr>
      <w:r>
        <w:rPr>
          <w:bCs/>
          <w:b/>
        </w:rPr>
        <w:t xml:space="preserve">Setup:</w:t>
      </w:r>
      <w:r>
        <w:t xml:space="preserve"> </w:t>
      </w:r>
      <w:r>
        <w:t xml:space="preserve">Assemble the circuit or system according to the design specifications. Double-check connections and component values.</w:t>
      </w:r>
    </w:p>
    <w:p>
      <w:pPr>
        <w:numPr>
          <w:ilvl w:val="0"/>
          <w:numId w:val="1005"/>
        </w:numPr>
        <w:pStyle w:val="Compact"/>
      </w:pPr>
      <w:r>
        <w:rPr>
          <w:bCs/>
          <w:b/>
        </w:rPr>
        <w:t xml:space="preserve">Testing:</w:t>
      </w:r>
      <w:r>
        <w:t xml:space="preserve"> </w:t>
      </w:r>
      <w:r>
        <w:t xml:space="preserve">Apply power gradually and monitor the system for anomalies. Record all measurements and observations.</w:t>
      </w:r>
    </w:p>
    <w:p>
      <w:pPr>
        <w:numPr>
          <w:ilvl w:val="0"/>
          <w:numId w:val="1005"/>
        </w:numPr>
        <w:pStyle w:val="Compact"/>
      </w:pPr>
      <w:r>
        <w:rPr>
          <w:bCs/>
          <w:b/>
        </w:rPr>
        <w:t xml:space="preserve">Data Collection:</w:t>
      </w:r>
      <w:r>
        <w:t xml:space="preserve"> </w:t>
      </w:r>
      <w:r>
        <w:t xml:space="preserve">Use calibrated instruments to collect data. Ensure data is stored securely and backed up.</w:t>
      </w:r>
    </w:p>
    <w:p>
      <w:pPr>
        <w:numPr>
          <w:ilvl w:val="0"/>
          <w:numId w:val="1005"/>
        </w:numPr>
        <w:pStyle w:val="Compact"/>
      </w:pPr>
      <w:r>
        <w:rPr>
          <w:bCs/>
          <w:b/>
        </w:rPr>
        <w:t xml:space="preserve">Analysis:</w:t>
      </w:r>
      <w:r>
        <w:t xml:space="preserve"> </w:t>
      </w:r>
      <w:r>
        <w:t xml:space="preserve">Analyze the data to determine if the experiment meets its objectives. Identify any discrepancies or areas for improvement.</w:t>
      </w:r>
    </w:p>
    <w:p>
      <w:pPr>
        <w:numPr>
          <w:ilvl w:val="0"/>
          <w:numId w:val="1005"/>
        </w:numPr>
        <w:pStyle w:val="Compact"/>
      </w:pPr>
      <w:r>
        <w:rPr>
          <w:bCs/>
          <w:b/>
        </w:rPr>
        <w:t xml:space="preserve">Documentation:</w:t>
      </w:r>
      <w:r>
        <w:t xml:space="preserve"> </w:t>
      </w:r>
      <w:r>
        <w:t xml:space="preserve">Prepare a detailed report including methodology, results, and conclusions.</w:t>
      </w:r>
    </w:p>
    <w:p>
      <w:pPr>
        <w:pStyle w:val="FirstParagraph"/>
      </w:pPr>
      <w:r>
        <w:t xml:space="preserve">8. Data Management</w:t>
      </w:r>
    </w:p>
    <w:p>
      <w:pPr>
        <w:pStyle w:val="BodyText"/>
      </w:pPr>
      <w:r>
        <w:t xml:space="preserve">All experimental data must be managed in accordance with UAE data protection laws. Key requirements include:</w:t>
      </w:r>
    </w:p>
    <w:p>
      <w:pPr>
        <w:numPr>
          <w:ilvl w:val="0"/>
          <w:numId w:val="1006"/>
        </w:numPr>
        <w:pStyle w:val="Compact"/>
      </w:pPr>
      <w:r>
        <w:t xml:space="preserve">Storing data on secure, encrypted servers.</w:t>
      </w:r>
    </w:p>
    <w:p>
      <w:pPr>
        <w:numPr>
          <w:ilvl w:val="0"/>
          <w:numId w:val="1006"/>
        </w:numPr>
        <w:pStyle w:val="Compact"/>
      </w:pPr>
      <w:r>
        <w:t xml:space="preserve">Maintaining access logs for all data files.</w:t>
      </w:r>
    </w:p>
    <w:p>
      <w:pPr>
        <w:numPr>
          <w:ilvl w:val="0"/>
          <w:numId w:val="1006"/>
        </w:numPr>
        <w:pStyle w:val="Compact"/>
      </w:pPr>
      <w:r>
        <w:t xml:space="preserve">Retaining data for a minimum of five years.</w:t>
      </w:r>
    </w:p>
    <w:p>
      <w:pPr>
        <w:numPr>
          <w:ilvl w:val="0"/>
          <w:numId w:val="1006"/>
        </w:numPr>
        <w:pStyle w:val="Compact"/>
      </w:pPr>
      <w:r>
        <w:t xml:space="preserve">Ensuring data is anonymized if it contains personal information.</w:t>
      </w:r>
    </w:p>
    <w:p>
      <w:pPr>
        <w:pStyle w:val="FirstParagraph"/>
      </w:pPr>
      <w:r>
        <w:t xml:space="preserve">9. Waste Disposal</w:t>
      </w:r>
    </w:p>
    <w:p>
      <w:pPr>
        <w:pStyle w:val="BodyText"/>
      </w:pPr>
      <w:r>
        <w:t xml:space="preserve">Electronic waste must be disposed of in compliance with UAE environmental regulations. Procedures include:</w:t>
      </w:r>
    </w:p>
    <w:p>
      <w:pPr>
        <w:numPr>
          <w:ilvl w:val="0"/>
          <w:numId w:val="1007"/>
        </w:numPr>
        <w:pStyle w:val="Compact"/>
      </w:pPr>
      <w:r>
        <w:t xml:space="preserve">Segregating hazardous materials (e.g., batteries, capacitors).</w:t>
      </w:r>
    </w:p>
    <w:p>
      <w:pPr>
        <w:numPr>
          <w:ilvl w:val="0"/>
          <w:numId w:val="1007"/>
        </w:numPr>
        <w:pStyle w:val="Compact"/>
      </w:pPr>
      <w:r>
        <w:t xml:space="preserve">Using certified e-waste recycling facilities in Abu Dhabi.</w:t>
      </w:r>
    </w:p>
    <w:p>
      <w:pPr>
        <w:numPr>
          <w:ilvl w:val="0"/>
          <w:numId w:val="1007"/>
        </w:numPr>
        <w:pStyle w:val="Compact"/>
      </w:pPr>
      <w:r>
        <w:t xml:space="preserve">Maintaining records of waste disposal for audit purposes.</w:t>
      </w:r>
    </w:p>
    <w:p>
      <w:pPr>
        <w:pStyle w:val="FirstParagraph"/>
      </w:pPr>
      <w:r>
        <w:t xml:space="preserve">10. Emergency Procedures</w:t>
      </w:r>
    </w:p>
    <w:p>
      <w:pPr>
        <w:pStyle w:val="BodyText"/>
      </w:pPr>
      <w:r>
        <w:t xml:space="preserve">In case of an emergency, the following steps must be taken:</w:t>
      </w:r>
    </w:p>
    <w:p>
      <w:pPr>
        <w:numPr>
          <w:ilvl w:val="0"/>
          <w:numId w:val="1008"/>
        </w:numPr>
        <w:pStyle w:val="Compact"/>
      </w:pPr>
      <w:r>
        <w:t xml:space="preserve">Immediately shut down all equipment and power sources.</w:t>
      </w:r>
    </w:p>
    <w:p>
      <w:pPr>
        <w:numPr>
          <w:ilvl w:val="0"/>
          <w:numId w:val="1008"/>
        </w:numPr>
        <w:pStyle w:val="Compact"/>
      </w:pPr>
      <w:r>
        <w:t xml:space="preserve">Evacuate the area if necessary and alert emergency services.</w:t>
      </w:r>
    </w:p>
    <w:p>
      <w:pPr>
        <w:numPr>
          <w:ilvl w:val="0"/>
          <w:numId w:val="1008"/>
        </w:numPr>
        <w:pStyle w:val="Compact"/>
      </w:pPr>
      <w:r>
        <w:t xml:space="preserve">Provide first aid if trained to do so.</w:t>
      </w:r>
    </w:p>
    <w:p>
      <w:pPr>
        <w:numPr>
          <w:ilvl w:val="0"/>
          <w:numId w:val="1008"/>
        </w:numPr>
        <w:pStyle w:val="Compact"/>
      </w:pPr>
      <w:r>
        <w:t xml:space="preserve">Report the incident to the supervisor and document all details.</w:t>
      </w:r>
    </w:p>
    <w:p>
      <w:pPr>
        <w:pStyle w:val="FirstParagraph"/>
      </w:pPr>
      <w:r>
        <w:t xml:space="preserve">11. Approval and Signatures</w:t>
      </w:r>
    </w:p>
    <w:p>
      <w:pPr>
        <w:pStyle w:val="BodyText"/>
      </w:pPr>
      <w:r>
        <w:t xml:space="preserve">This Experiment Protocol must be reviewed and approved by the relevant authorities before implementation.</w:t>
      </w:r>
    </w:p>
    <w:p>
      <w:pPr>
        <w:pStyle w:val="BodyText"/>
      </w:pPr>
      <w:r>
        <w:rPr>
          <w:bCs/>
          <w:b/>
        </w:rPr>
        <w:t xml:space="preserve">Electronics Engineer:</w:t>
      </w:r>
    </w:p>
    <w:p>
      <w:pPr>
        <w:pStyle w:val="BodyText"/>
      </w:pPr>
      <w:r>
        <w:rPr>
          <w:bCs/>
          <w:b/>
        </w:rPr>
        <w:t xml:space="preserve">Date:</w:t>
      </w:r>
      <w:r>
        <w:t xml:space="preserve"> </w:t>
      </w:r>
      <w:r>
        <w:t xml:space="preserve">_______________</w:t>
      </w:r>
    </w:p>
    <w:p>
      <w:pPr>
        <w:pStyle w:val="BodyText"/>
      </w:pPr>
      <w:r>
        <w:rPr>
          <w:bCs/>
          <w:b/>
        </w:rPr>
        <w:t xml:space="preserve">Supervisor:</w:t>
      </w:r>
    </w:p>
    <w:p>
      <w:pPr>
        <w:pStyle w:val="BodyText"/>
      </w:pPr>
      <w:r>
        <w:rPr>
          <w:bCs/>
          <w:b/>
        </w:rPr>
        <w:t xml:space="preserve">Date:</w:t>
      </w:r>
      <w:r>
        <w:t xml:space="preserve"> </w:t>
      </w:r>
      <w:r>
        <w:t xml:space="preserve">_______________</w:t>
      </w:r>
    </w:p>
    <w:p>
      <w:pPr>
        <w:pStyle w:val="BodyText"/>
      </w:pPr>
      <w:r>
        <w:rPr>
          <w:bCs/>
          <w:b/>
        </w:rPr>
        <w:t xml:space="preserve">Safety Officer: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Abu Dhabi, UAE</dc:title>
  <dc:creator/>
  <dc:language>en</dc:language>
  <cp:keywords/>
  <dcterms:created xsi:type="dcterms:W3CDTF">2026-10-10T03:05:06Z</dcterms:created>
  <dcterms:modified xsi:type="dcterms:W3CDTF">2026-10-10T03:05:06Z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