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EP-LA-EE-2023-001</w:t>
      </w:r>
    </w:p>
    <w:p>
      <w:pPr>
        <w:pStyle w:val="BodyText"/>
      </w:pPr>
      <w:r>
        <w:rPr>
          <w:bCs/>
          <w:b/>
        </w:rPr>
        <w:t xml:space="preserve">Location:</w:t>
      </w:r>
      <w:r>
        <w:t xml:space="preserve"> </w:t>
      </w:r>
      <w:r>
        <w:t xml:space="preserve">Los Angeles, California, United States</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electronic experiments in Los Angeles, California, United States. The protocol is designed for Electronics Engineers working in research, development, and testing environments. It ensures compliance with local regulations, industry standards, and best practices for electronic experimentation.</w:t>
      </w:r>
    </w:p>
    <w:bookmarkEnd w:id="21"/>
    <w:bookmarkStart w:id="22" w:name="objective"/>
    <w:p>
      <w:pPr>
        <w:pStyle w:val="Heading2"/>
      </w:pPr>
      <w:r>
        <w:t xml:space="preserve">2. Objective</w:t>
      </w:r>
    </w:p>
    <w:p>
      <w:pPr>
        <w:pStyle w:val="FirstParagraph"/>
      </w:pPr>
      <w:r>
        <w:t xml:space="preserve">The primary objective of this protocol is to establish a standardized framework for Electronics Engineers to conduct experiments safely, efficiently, and in accordance with the regulatory environment of Los Angeles, California, United States. This includes testing electronic circuits, components, and systems under controlled conditions while minimizing risks to personnel, equipment, and the environment.</w:t>
      </w:r>
    </w:p>
    <w:bookmarkEnd w:id="22"/>
    <w:bookmarkStart w:id="23" w:name="scope"/>
    <w:p>
      <w:pPr>
        <w:pStyle w:val="Heading2"/>
      </w:pPr>
      <w:r>
        <w:t xml:space="preserve">3. Scope</w:t>
      </w:r>
    </w:p>
    <w:p>
      <w:pPr>
        <w:pStyle w:val="FirstParagraph"/>
      </w:pPr>
      <w:r>
        <w:t xml:space="preserve">This protocol applies to all Electronics Engineers conducting experiments within facilities located in Los Angeles, California, United States. It covers the design, setup, execution, and documentation of electronic experiments, including but not limited to:</w:t>
      </w:r>
    </w:p>
    <w:p>
      <w:pPr>
        <w:numPr>
          <w:ilvl w:val="0"/>
          <w:numId w:val="1001"/>
        </w:numPr>
        <w:pStyle w:val="Compact"/>
      </w:pPr>
      <w:r>
        <w:t xml:space="preserve">Circuit design and simulation</w:t>
      </w:r>
    </w:p>
    <w:p>
      <w:pPr>
        <w:numPr>
          <w:ilvl w:val="0"/>
          <w:numId w:val="1001"/>
        </w:numPr>
        <w:pStyle w:val="Compact"/>
      </w:pPr>
      <w:r>
        <w:t xml:space="preserve">Component testing and validation</w:t>
      </w:r>
    </w:p>
    <w:p>
      <w:pPr>
        <w:numPr>
          <w:ilvl w:val="0"/>
          <w:numId w:val="1001"/>
        </w:numPr>
        <w:pStyle w:val="Compact"/>
      </w:pPr>
      <w:r>
        <w:t xml:space="preserve">System integration and performance evaluation</w:t>
      </w:r>
    </w:p>
    <w:p>
      <w:pPr>
        <w:numPr>
          <w:ilvl w:val="0"/>
          <w:numId w:val="1001"/>
        </w:numPr>
        <w:pStyle w:val="Compact"/>
      </w:pPr>
      <w:r>
        <w:t xml:space="preserve">Electromagnetic compatibility (EMC) testing</w:t>
      </w:r>
    </w:p>
    <w:p>
      <w:pPr>
        <w:numPr>
          <w:ilvl w:val="0"/>
          <w:numId w:val="1001"/>
        </w:numPr>
        <w:pStyle w:val="Compact"/>
      </w:pPr>
      <w:r>
        <w:t xml:space="preserve">Power supply and signal integrity analysis</w:t>
      </w:r>
    </w:p>
    <w:bookmarkEnd w:id="23"/>
    <w:bookmarkStart w:id="24" w:name="regulatory-compliance"/>
    <w:p>
      <w:pPr>
        <w:pStyle w:val="Heading2"/>
      </w:pPr>
      <w:r>
        <w:t xml:space="preserve">4. Regulatory Compliance</w:t>
      </w:r>
    </w:p>
    <w:p>
      <w:pPr>
        <w:pStyle w:val="FirstParagraph"/>
      </w:pPr>
      <w:r>
        <w:t xml:space="preserve">All experiments must comply with applicable federal, state, and local regulations in the United States, particularly those enforced in Los Angeles, California. Key regulatory bodies and standards include:</w:t>
      </w:r>
    </w:p>
    <w:p>
      <w:pPr>
        <w:numPr>
          <w:ilvl w:val="0"/>
          <w:numId w:val="1002"/>
        </w:numPr>
        <w:pStyle w:val="Compact"/>
      </w:pPr>
      <w:r>
        <w:rPr>
          <w:bCs/>
          <w:b/>
        </w:rPr>
        <w:t xml:space="preserve">Federal Communications Commission (FCC):</w:t>
      </w:r>
      <w:r>
        <w:t xml:space="preserve"> </w:t>
      </w:r>
      <w:r>
        <w:t xml:space="preserve">Ensures electromagnetic emissions are within permissible limits.</w:t>
      </w:r>
    </w:p>
    <w:p>
      <w:pPr>
        <w:numPr>
          <w:ilvl w:val="0"/>
          <w:numId w:val="1002"/>
        </w:numPr>
        <w:pStyle w:val="Compact"/>
      </w:pPr>
      <w:r>
        <w:rPr>
          <w:bCs/>
          <w:b/>
        </w:rPr>
        <w:t xml:space="preserve">Occupational Safety and Health Administration (OSHA):</w:t>
      </w:r>
      <w:r>
        <w:t xml:space="preserve"> </w:t>
      </w:r>
      <w:r>
        <w:t xml:space="preserve">Governs workplace safety and health standards.</w:t>
      </w:r>
    </w:p>
    <w:p>
      <w:pPr>
        <w:numPr>
          <w:ilvl w:val="0"/>
          <w:numId w:val="1002"/>
        </w:numPr>
        <w:pStyle w:val="Compact"/>
      </w:pPr>
      <w:r>
        <w:rPr>
          <w:bCs/>
          <w:b/>
        </w:rPr>
        <w:t xml:space="preserve">California Environmental Protection Agency (CalEPA):</w:t>
      </w:r>
      <w:r>
        <w:t xml:space="preserve"> </w:t>
      </w:r>
      <w:r>
        <w:t xml:space="preserve">Regulates environmental impacts of electronic waste and hazardous materials.</w:t>
      </w:r>
    </w:p>
    <w:p>
      <w:pPr>
        <w:numPr>
          <w:ilvl w:val="0"/>
          <w:numId w:val="1002"/>
        </w:numPr>
        <w:pStyle w:val="Compact"/>
      </w:pPr>
      <w:r>
        <w:rPr>
          <w:bCs/>
          <w:b/>
        </w:rPr>
        <w:t xml:space="preserve">Los Angeles Department of Building and Safety (LADBS):</w:t>
      </w:r>
      <w:r>
        <w:t xml:space="preserve"> </w:t>
      </w:r>
      <w:r>
        <w:t xml:space="preserve">Oversees facility safety and electrical code compliance.</w:t>
      </w:r>
    </w:p>
    <w:bookmarkEnd w:id="24"/>
    <w:bookmarkStart w:id="25" w:name="safety-procedures"/>
    <w:p>
      <w:pPr>
        <w:pStyle w:val="Heading2"/>
      </w:pPr>
      <w:r>
        <w:t xml:space="preserve">5. Safety Procedures</w:t>
      </w:r>
    </w:p>
    <w:p>
      <w:pPr>
        <w:pStyle w:val="FirstParagraph"/>
      </w:pPr>
      <w:r>
        <w:t xml:space="preserve">Electronics Engineers must adhere to the following safety procedures to mitigate risks associated with electronic experiments:</w:t>
      </w:r>
    </w:p>
    <w:p>
      <w:pPr>
        <w:numPr>
          <w:ilvl w:val="0"/>
          <w:numId w:val="1003"/>
        </w:numPr>
        <w:pStyle w:val="Compact"/>
      </w:pPr>
      <w:r>
        <w:rPr>
          <w:bCs/>
          <w:b/>
        </w:rPr>
        <w:t xml:space="preserve">Personal Protective Equipment (PPE):</w:t>
      </w:r>
      <w:r>
        <w:t xml:space="preserve"> </w:t>
      </w:r>
      <w:r>
        <w:t xml:space="preserve">Use appropriate PPE, including safety glasses, gloves, and lab coats, as required.</w:t>
      </w:r>
    </w:p>
    <w:p>
      <w:pPr>
        <w:numPr>
          <w:ilvl w:val="0"/>
          <w:numId w:val="1003"/>
        </w:numPr>
        <w:pStyle w:val="Compact"/>
      </w:pPr>
      <w:r>
        <w:rPr>
          <w:bCs/>
          <w:b/>
        </w:rPr>
        <w:t xml:space="preserve">Electrical Safety:</w:t>
      </w:r>
      <w:r>
        <w:t xml:space="preserve"> </w:t>
      </w:r>
      <w:r>
        <w:t xml:space="preserve">Ensure all equipment is properly grounded and insulated. Use lockout/tagout procedures when working with high-voltage systems.</w:t>
      </w:r>
    </w:p>
    <w:p>
      <w:pPr>
        <w:numPr>
          <w:ilvl w:val="0"/>
          <w:numId w:val="1003"/>
        </w:numPr>
        <w:pStyle w:val="Compact"/>
      </w:pPr>
      <w:r>
        <w:rPr>
          <w:bCs/>
          <w:b/>
        </w:rPr>
        <w:t xml:space="preserve">Fire Safety:</w:t>
      </w:r>
      <w:r>
        <w:t xml:space="preserve"> </w:t>
      </w:r>
      <w:r>
        <w:t xml:space="preserve">Keep fire extinguishers rated for electrical fires accessible. Avoid overloading circuits and ensure proper ventilation.</w:t>
      </w:r>
    </w:p>
    <w:p>
      <w:pPr>
        <w:numPr>
          <w:ilvl w:val="0"/>
          <w:numId w:val="1003"/>
        </w:numPr>
        <w:pStyle w:val="Compact"/>
      </w:pPr>
      <w:r>
        <w:rPr>
          <w:bCs/>
          <w:b/>
        </w:rPr>
        <w:t xml:space="preserve">Hazardous Materials:</w:t>
      </w:r>
      <w:r>
        <w:t xml:space="preserve"> </w:t>
      </w:r>
      <w:r>
        <w:t xml:space="preserve">Handle batteries, solvents, and other hazardous materials in accordance with CalEPA guidelines.</w:t>
      </w:r>
    </w:p>
    <w:p>
      <w:pPr>
        <w:numPr>
          <w:ilvl w:val="0"/>
          <w:numId w:val="1003"/>
        </w:numPr>
        <w:pStyle w:val="Compact"/>
      </w:pPr>
      <w:r>
        <w:rPr>
          <w:bCs/>
          <w:b/>
        </w:rPr>
        <w:t xml:space="preserve">Emergency Procedures:</w:t>
      </w:r>
      <w:r>
        <w:t xml:space="preserve"> </w:t>
      </w:r>
      <w:r>
        <w:t xml:space="preserve">Familiarize yourself with emergency exits, first aid kits, and incident reporting protocols.</w:t>
      </w:r>
    </w:p>
    <w:bookmarkEnd w:id="25"/>
    <w:bookmarkStart w:id="26" w:name="equipment-and-tools"/>
    <w:p>
      <w:pPr>
        <w:pStyle w:val="Heading2"/>
      </w:pPr>
      <w:r>
        <w:t xml:space="preserve">6. Equipment and Tools</w:t>
      </w:r>
    </w:p>
    <w:p>
      <w:pPr>
        <w:pStyle w:val="FirstParagraph"/>
      </w:pPr>
      <w:r>
        <w:t xml:space="preserve">Electronics Engineers must use calibrated and certified equipment for all experiments. Common tools include:</w:t>
      </w:r>
    </w:p>
    <w:p>
      <w:pPr>
        <w:numPr>
          <w:ilvl w:val="0"/>
          <w:numId w:val="1004"/>
        </w:numPr>
        <w:pStyle w:val="Compact"/>
      </w:pPr>
      <w:r>
        <w:t xml:space="preserve">Oscilloscopes</w:t>
      </w:r>
    </w:p>
    <w:p>
      <w:pPr>
        <w:numPr>
          <w:ilvl w:val="0"/>
          <w:numId w:val="1004"/>
        </w:numPr>
        <w:pStyle w:val="Compact"/>
      </w:pPr>
      <w:r>
        <w:t xml:space="preserve">Function generators</w:t>
      </w:r>
    </w:p>
    <w:p>
      <w:pPr>
        <w:numPr>
          <w:ilvl w:val="0"/>
          <w:numId w:val="1004"/>
        </w:numPr>
        <w:pStyle w:val="Compact"/>
      </w:pPr>
      <w:r>
        <w:t xml:space="preserve">Power supplies</w:t>
      </w:r>
    </w:p>
    <w:p>
      <w:pPr>
        <w:numPr>
          <w:ilvl w:val="0"/>
          <w:numId w:val="1004"/>
        </w:numPr>
        <w:pStyle w:val="Compact"/>
      </w:pPr>
      <w:r>
        <w:t xml:space="preserve">Multimeters</w:t>
      </w:r>
    </w:p>
    <w:p>
      <w:pPr>
        <w:numPr>
          <w:ilvl w:val="0"/>
          <w:numId w:val="1004"/>
        </w:numPr>
        <w:pStyle w:val="Compact"/>
      </w:pPr>
      <w:r>
        <w:t xml:space="preserve">Spectrum analyzers</w:t>
      </w:r>
    </w:p>
    <w:p>
      <w:pPr>
        <w:numPr>
          <w:ilvl w:val="0"/>
          <w:numId w:val="1004"/>
        </w:numPr>
        <w:pStyle w:val="Compact"/>
      </w:pPr>
      <w:r>
        <w:t xml:space="preserve">Soldering stations</w:t>
      </w:r>
    </w:p>
    <w:p>
      <w:pPr>
        <w:numPr>
          <w:ilvl w:val="0"/>
          <w:numId w:val="1004"/>
        </w:numPr>
        <w:pStyle w:val="Compact"/>
      </w:pPr>
      <w:r>
        <w:t xml:space="preserve">PCB prototyping tools</w:t>
      </w:r>
    </w:p>
    <w:p>
      <w:pPr>
        <w:pStyle w:val="FirstParagraph"/>
      </w:pPr>
      <w:r>
        <w:t xml:space="preserve">All equipment must be inspected regularly and maintained in accordance with manufacturer guidelines and Los Angeles facility standards.</w:t>
      </w:r>
    </w:p>
    <w:bookmarkEnd w:id="26"/>
    <w:bookmarkStart w:id="27" w:name="experiment-design"/>
    <w:p>
      <w:pPr>
        <w:pStyle w:val="Heading2"/>
      </w:pPr>
      <w:r>
        <w:t xml:space="preserve">7. Experiment Design</w:t>
      </w:r>
    </w:p>
    <w:p>
      <w:pPr>
        <w:pStyle w:val="FirstParagraph"/>
      </w:pPr>
      <w:r>
        <w:t xml:space="preserve">Before conducting any experiment, Electronics Engineers must:</w:t>
      </w:r>
    </w:p>
    <w:p>
      <w:pPr>
        <w:numPr>
          <w:ilvl w:val="0"/>
          <w:numId w:val="1005"/>
        </w:numPr>
        <w:pStyle w:val="Compact"/>
      </w:pPr>
      <w:r>
        <w:t xml:space="preserve">Define clear objectives and hypotheses.</w:t>
      </w:r>
    </w:p>
    <w:p>
      <w:pPr>
        <w:numPr>
          <w:ilvl w:val="0"/>
          <w:numId w:val="1005"/>
        </w:numPr>
        <w:pStyle w:val="Compact"/>
      </w:pPr>
      <w:r>
        <w:t xml:space="preserve">Develop a detailed experimental plan, including circuit diagrams and test procedures.</w:t>
      </w:r>
    </w:p>
    <w:p>
      <w:pPr>
        <w:numPr>
          <w:ilvl w:val="0"/>
          <w:numId w:val="1005"/>
        </w:numPr>
        <w:pStyle w:val="Compact"/>
      </w:pPr>
      <w:r>
        <w:t xml:space="preserve">Identify potential risks and implement mitigation strategies.</w:t>
      </w:r>
    </w:p>
    <w:p>
      <w:pPr>
        <w:numPr>
          <w:ilvl w:val="0"/>
          <w:numId w:val="1005"/>
        </w:numPr>
        <w:pStyle w:val="Compact"/>
      </w:pPr>
      <w:r>
        <w:t xml:space="preserve">Ensure all components and materials are sourced from reputable suppliers.</w:t>
      </w:r>
    </w:p>
    <w:p>
      <w:pPr>
        <w:numPr>
          <w:ilvl w:val="0"/>
          <w:numId w:val="1005"/>
        </w:numPr>
        <w:pStyle w:val="Compact"/>
      </w:pPr>
      <w:r>
        <w:t xml:space="preserve">Document the experimental setup, including equipment configurations and environmental conditions.</w:t>
      </w:r>
    </w:p>
    <w:bookmarkEnd w:id="27"/>
    <w:bookmarkStart w:id="28" w:name="execution-and-monitoring"/>
    <w:p>
      <w:pPr>
        <w:pStyle w:val="Heading2"/>
      </w:pPr>
      <w:r>
        <w:t xml:space="preserve">8. Execution and Monitoring</w:t>
      </w:r>
    </w:p>
    <w:p>
      <w:pPr>
        <w:pStyle w:val="FirstParagraph"/>
      </w:pPr>
      <w:r>
        <w:t xml:space="preserve">During the experiment, Electronics Engineers must:</w:t>
      </w:r>
    </w:p>
    <w:p>
      <w:pPr>
        <w:numPr>
          <w:ilvl w:val="0"/>
          <w:numId w:val="1006"/>
        </w:numPr>
        <w:pStyle w:val="Compact"/>
      </w:pPr>
      <w:r>
        <w:t xml:space="preserve">Follow the approved experimental plan.</w:t>
      </w:r>
    </w:p>
    <w:p>
      <w:pPr>
        <w:numPr>
          <w:ilvl w:val="0"/>
          <w:numId w:val="1006"/>
        </w:numPr>
        <w:pStyle w:val="Compact"/>
      </w:pPr>
      <w:r>
        <w:t xml:space="preserve">Monitor equipment and systems continuously for anomalies.</w:t>
      </w:r>
    </w:p>
    <w:p>
      <w:pPr>
        <w:numPr>
          <w:ilvl w:val="0"/>
          <w:numId w:val="1006"/>
        </w:numPr>
        <w:pStyle w:val="Compact"/>
      </w:pPr>
      <w:r>
        <w:t xml:space="preserve">Record all observations, measurements, and data in real-time.</w:t>
      </w:r>
    </w:p>
    <w:p>
      <w:pPr>
        <w:numPr>
          <w:ilvl w:val="0"/>
          <w:numId w:val="1006"/>
        </w:numPr>
        <w:pStyle w:val="Compact"/>
      </w:pPr>
      <w:r>
        <w:t xml:space="preserve">Adhere to safety protocols and stop the experiment immediately if hazards arise.</w:t>
      </w:r>
    </w:p>
    <w:bookmarkEnd w:id="28"/>
    <w:bookmarkStart w:id="29" w:name="data-analysis-and-reporting"/>
    <w:p>
      <w:pPr>
        <w:pStyle w:val="Heading2"/>
      </w:pPr>
      <w:r>
        <w:t xml:space="preserve">9. Data Analysis and Reporting</w:t>
      </w:r>
    </w:p>
    <w:p>
      <w:pPr>
        <w:pStyle w:val="FirstParagraph"/>
      </w:pPr>
      <w:r>
        <w:t xml:space="preserve">After completing the experiment, Electronics Engineers must:</w:t>
      </w:r>
    </w:p>
    <w:p>
      <w:pPr>
        <w:numPr>
          <w:ilvl w:val="0"/>
          <w:numId w:val="1007"/>
        </w:numPr>
        <w:pStyle w:val="Compact"/>
      </w:pPr>
      <w:r>
        <w:t xml:space="preserve">Analyze the collected data using appropriate statistical and technical methods.</w:t>
      </w:r>
    </w:p>
    <w:p>
      <w:pPr>
        <w:numPr>
          <w:ilvl w:val="0"/>
          <w:numId w:val="1007"/>
        </w:numPr>
        <w:pStyle w:val="Compact"/>
      </w:pPr>
      <w:r>
        <w:t xml:space="preserve">Compare results with expected outcomes and hypotheses.</w:t>
      </w:r>
    </w:p>
    <w:p>
      <w:pPr>
        <w:numPr>
          <w:ilvl w:val="0"/>
          <w:numId w:val="1007"/>
        </w:numPr>
        <w:pStyle w:val="Compact"/>
      </w:pPr>
      <w:r>
        <w:t xml:space="preserve">Prepare a comprehensive report detailing the methodology, findings, and conclusions.</w:t>
      </w:r>
    </w:p>
    <w:p>
      <w:pPr>
        <w:numPr>
          <w:ilvl w:val="0"/>
          <w:numId w:val="1007"/>
        </w:numPr>
        <w:pStyle w:val="Compact"/>
      </w:pPr>
      <w:r>
        <w:t xml:space="preserve">Submit the report to the relevant stakeholders for review and approval.</w:t>
      </w:r>
    </w:p>
    <w:bookmarkEnd w:id="29"/>
    <w:bookmarkStart w:id="30" w:name="waste-disposal"/>
    <w:p>
      <w:pPr>
        <w:pStyle w:val="Heading2"/>
      </w:pPr>
      <w:r>
        <w:t xml:space="preserve">10. Waste Disposal</w:t>
      </w:r>
    </w:p>
    <w:p>
      <w:pPr>
        <w:pStyle w:val="FirstParagraph"/>
      </w:pPr>
      <w:r>
        <w:t xml:space="preserve">All electronic waste and hazardous materials generated during experiments must be disposed of in accordance with CalEPA and Los Angeles municipal regulations. This includes:</w:t>
      </w:r>
    </w:p>
    <w:p>
      <w:pPr>
        <w:numPr>
          <w:ilvl w:val="0"/>
          <w:numId w:val="1008"/>
        </w:numPr>
        <w:pStyle w:val="Compact"/>
      </w:pPr>
      <w:r>
        <w:t xml:space="preserve">Segregating recyclable materials, such as metals and plastics.</w:t>
      </w:r>
    </w:p>
    <w:p>
      <w:pPr>
        <w:numPr>
          <w:ilvl w:val="0"/>
          <w:numId w:val="1008"/>
        </w:numPr>
        <w:pStyle w:val="Compact"/>
      </w:pPr>
      <w:r>
        <w:t xml:space="preserve">Using certified e-waste disposal facilities.</w:t>
      </w:r>
    </w:p>
    <w:p>
      <w:pPr>
        <w:numPr>
          <w:ilvl w:val="0"/>
          <w:numId w:val="1008"/>
        </w:numPr>
        <w:pStyle w:val="Compact"/>
      </w:pPr>
      <w:r>
        <w:t xml:space="preserve">Documenting waste disposal activities for regulatory compliance.</w:t>
      </w:r>
    </w:p>
    <w:bookmarkEnd w:id="30"/>
    <w:bookmarkStart w:id="31" w:name="training-and-qualifications"/>
    <w:p>
      <w:pPr>
        <w:pStyle w:val="Heading2"/>
      </w:pPr>
      <w:r>
        <w:t xml:space="preserve">11. Training and Qualifications</w:t>
      </w:r>
    </w:p>
    <w:p>
      <w:pPr>
        <w:pStyle w:val="FirstParagraph"/>
      </w:pPr>
      <w:r>
        <w:t xml:space="preserve">Electronics Engineers conducting experiments in Los Angeles, California, United States, must:</w:t>
      </w:r>
    </w:p>
    <w:p>
      <w:pPr>
        <w:numPr>
          <w:ilvl w:val="0"/>
          <w:numId w:val="1009"/>
        </w:numPr>
        <w:pStyle w:val="Compact"/>
      </w:pPr>
      <w:r>
        <w:t xml:space="preserve">Hold a relevant degree or certification in electronics engineering or a related field.</w:t>
      </w:r>
    </w:p>
    <w:p>
      <w:pPr>
        <w:numPr>
          <w:ilvl w:val="0"/>
          <w:numId w:val="1009"/>
        </w:numPr>
        <w:pStyle w:val="Compact"/>
      </w:pPr>
      <w:r>
        <w:t xml:space="preserve">Complete mandatory safety training programs.</w:t>
      </w:r>
    </w:p>
    <w:p>
      <w:pPr>
        <w:numPr>
          <w:ilvl w:val="0"/>
          <w:numId w:val="1009"/>
        </w:numPr>
        <w:pStyle w:val="Compact"/>
      </w:pPr>
      <w:r>
        <w:t xml:space="preserve">Stay updated on industry standards and regulatory changes.</w:t>
      </w:r>
    </w:p>
    <w:bookmarkEnd w:id="31"/>
    <w:bookmarkStart w:id="32" w:name="review-and-updates"/>
    <w:p>
      <w:pPr>
        <w:pStyle w:val="Heading2"/>
      </w:pPr>
      <w:r>
        <w:t xml:space="preserve">12. Review and Updates</w:t>
      </w:r>
    </w:p>
    <w:p>
      <w:pPr>
        <w:pStyle w:val="FirstParagraph"/>
      </w:pPr>
      <w:r>
        <w:t xml:space="preserve">This Experiment Protocol will be reviewed annually or as needed to incorporate changes in regulations, technology, or best practices. Feedback from Electronics Engineers and stakeholders will be considered during the review process.</w:t>
      </w:r>
    </w:p>
    <w:bookmarkEnd w:id="32"/>
    <w:p>
      <w:pPr>
        <w:pStyle w:val="BodyText"/>
      </w:pPr>
      <w:r>
        <w:rPr>
          <w:bCs/>
          <w:b/>
        </w:rPr>
        <w:t xml:space="preserve">Prepared by:</w:t>
      </w:r>
      <w:r>
        <w:t xml:space="preserve"> </w:t>
      </w:r>
      <w:r>
        <w:t xml:space="preserve">[Name], Senior Electronics Engineer</w:t>
      </w:r>
    </w:p>
    <w:p>
      <w:pPr>
        <w:pStyle w:val="BodyText"/>
      </w:pPr>
      <w:r>
        <w:rPr>
          <w:bCs/>
          <w:b/>
        </w:rPr>
        <w:t xml:space="preserve">Approved by:</w:t>
      </w:r>
      <w:r>
        <w:t xml:space="preserve"> </w:t>
      </w:r>
      <w:r>
        <w:t xml:space="preserve">[Name], Director of Engineering</w:t>
      </w:r>
    </w:p>
    <w:p>
      <w:pPr>
        <w:pStyle w:val="BodyText"/>
      </w:pPr>
      <w:r>
        <w:rPr>
          <w:bCs/>
          <w:b/>
        </w:rPr>
        <w:t xml:space="preserve">Location:</w:t>
      </w:r>
      <w:r>
        <w:t xml:space="preserve"> </w:t>
      </w:r>
      <w:r>
        <w:t xml:space="preserve">Los Angeles, California, United States</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Los Angeles, United States</dc:title>
  <dc:creator/>
  <dc:language>en</dc:language>
  <cp:keywords/>
  <dcterms:created xsi:type="dcterms:W3CDTF">2026-10-10T04:07:18Z</dcterms:created>
  <dcterms:modified xsi:type="dcterms:W3CDTF">2026-10-10T04:07:18Z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