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Kabul,</w:t>
      </w:r>
      <w:r>
        <w:t xml:space="preserve"> </w:t>
      </w:r>
      <w:r>
        <w:t xml:space="preserve">Afghanistan</w:t>
      </w:r>
    </w:p>
    <w:bookmarkStart w:id="30" w:name="X8c37c5e4bd350d1c892c32cc5a842fae1c737d0"/>
    <w:p>
      <w:pPr>
        <w:pStyle w:val="Heading1"/>
      </w:pPr>
      <w:r>
        <w:t xml:space="preserve">Experiment Protocol: Assessment of Heavy Metal Contamination in Kabul River Sediments</w:t>
      </w:r>
    </w:p>
    <w:p>
      <w:pPr>
        <w:pStyle w:val="FirstParagraph"/>
      </w:pPr>
      <w:r>
        <w:rPr>
          <w:bCs/>
          <w:b/>
        </w:rPr>
        <w:t xml:space="preserve">Project Title:</w:t>
      </w:r>
      <w:r>
        <w:t xml:space="preserve"> </w:t>
      </w:r>
      <w:r>
        <w:t xml:space="preserve">Baseline Analysis of Industrial Effluent Impact on Kabul River Sediment Quality</w:t>
      </w:r>
    </w:p>
    <w:p>
      <w:pPr>
        <w:pStyle w:val="BodyText"/>
      </w:pPr>
      <w:r>
        <w:rPr>
          <w:bCs/>
          <w:b/>
        </w:rPr>
        <w:t xml:space="preserve">Location:</w:t>
      </w:r>
      <w:r>
        <w:t xml:space="preserve"> </w:t>
      </w:r>
      <w:r>
        <w:t xml:space="preserve">Kabul River Basin, Kabul City, Afghanistan</w:t>
      </w:r>
    </w:p>
    <w:p>
      <w:pPr>
        <w:pStyle w:val="BodyText"/>
      </w:pPr>
      <w:r>
        <w:rPr>
          <w:bCs/>
          <w:b/>
        </w:rPr>
        <w:t xml:space="preserve">Lead Role:</w:t>
      </w:r>
      <w:r>
        <w:t xml:space="preserve"> </w:t>
      </w:r>
      <w:r>
        <w:t xml:space="preserve">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standardized procedures for the collection, preservation, and analysis of sediment samples from the Kabul River. As the primary water source for the capital city of Afghanistan Kabul, the river faces increasing pressure from rapid urbanization, industrial discharge, and agricultural runoff. The role of the Environmental Engineer in this context is critical, requiring the application of rigorous scientific methods to assess environmental health amidst challenging logistical and infrastructural conditions.</w:t>
      </w:r>
    </w:p>
    <w:p>
      <w:pPr>
        <w:pStyle w:val="BodyText"/>
      </w:pPr>
      <w:r>
        <w:t xml:space="preserve">The specific focus of this experiment is to quantify the concentration of heavy metals—specifically Lead (Pb), Cadmium (Cd), and Chromium (Cr)—in river sediments. These contaminants are prevalent in Kabul due to the presence of tanneries, textile dyeing facilities, and unregulated waste disposal sites along the riverbanks. The data generated will inform remediation strategies and policy recommendations for local authorities.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establish a baseline concentration of heavy metals in the Kabul River sediment at three critical sampling points.</w:t>
      </w:r>
    </w:p>
    <w:p>
      <w:pPr>
        <w:numPr>
          <w:ilvl w:val="0"/>
          <w:numId w:val="1001"/>
        </w:numPr>
        <w:pStyle w:val="Compact"/>
      </w:pPr>
      <w:r>
        <w:t xml:space="preserve">To evaluate the correlation between industrial discharge zones and sediment toxicity levels.</w:t>
      </w:r>
    </w:p>
    <w:p>
      <w:pPr>
        <w:numPr>
          <w:ilvl w:val="0"/>
          <w:numId w:val="1001"/>
        </w:numPr>
        <w:pStyle w:val="Compact"/>
      </w:pPr>
      <w:r>
        <w:t xml:space="preserve">To ensure all data collection adheres to international environmental engineering standards, adapted for the local context of Afghanistan.</w:t>
      </w:r>
    </w:p>
    <w:bookmarkEnd w:id="21"/>
    <w:bookmarkStart w:id="22" w:name="safety-and-security-considerations"/>
    <w:p>
      <w:pPr>
        <w:pStyle w:val="Heading2"/>
      </w:pPr>
      <w:r>
        <w:t xml:space="preserve">3. Safety and Security Considerations</w:t>
      </w:r>
    </w:p>
    <w:p>
      <w:pPr>
        <w:pStyle w:val="FirstParagraph"/>
      </w:pPr>
      <w:r>
        <w:rPr>
          <w:bCs/>
          <w:b/>
        </w:rPr>
        <w:t xml:space="preserve">CRITICAL:</w:t>
      </w:r>
      <w:r>
        <w:t xml:space="preserve"> </w:t>
      </w:r>
      <w:r>
        <w:t xml:space="preserve">Operations in Afghanistan Kabul require strict adherence to security protocols. The Environmental Engineer must coordinate with local security teams before field deployment.</w:t>
      </w:r>
    </w:p>
    <w:p>
      <w:pPr>
        <w:pStyle w:val="BodyText"/>
      </w:pPr>
      <w:r>
        <w:rPr>
          <w:bCs/>
          <w:b/>
        </w:rPr>
        <w:t xml:space="preserve">Personal Protective Equipment (PPE):</w:t>
      </w:r>
      <w:r>
        <w:t xml:space="preserve"> </w:t>
      </w:r>
      <w:r>
        <w:t xml:space="preserve">All personnel must wear nitrile gloves, safety goggles, and N95 respirators to prevent exposure to contaminated dust and waterborne pathogens.</w:t>
      </w:r>
    </w:p>
    <w:p>
      <w:pPr>
        <w:pStyle w:val="BodyText"/>
      </w:pPr>
      <w:r>
        <w:rPr>
          <w:bCs/>
          <w:b/>
        </w:rPr>
        <w:t xml:space="preserve">Site Safety:</w:t>
      </w:r>
      <w:r>
        <w:t xml:space="preserve"> </w:t>
      </w:r>
      <w:r>
        <w:t xml:space="preserve">The Kabul River banks are often unstable and prone to erosion. Sampling must be conducted from stable ground or designated boats. Due to the potential presence of unexploded ordnance (UXO) in certain peripheral areas of Kabul, sampling sites must be pre-cleared by demining authorities.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Sediment Sampler</w:t>
            </w:r>
          </w:p>
        </w:tc>
        <w:tc>
          <w:tcPr/>
          <w:p>
            <w:pPr>
              <w:pStyle w:val="Compact"/>
              <w:jc w:val="left"/>
            </w:pPr>
            <w:r>
              <w:t xml:space="preserve">Grab sampler (Van Veen type) or stainless steel corer</w:t>
            </w:r>
          </w:p>
        </w:tc>
        <w:tc>
          <w:tcPr/>
          <w:p>
            <w:pPr>
              <w:pStyle w:val="Compact"/>
              <w:jc w:val="left"/>
            </w:pPr>
            <w:r>
              <w:t xml:space="preserve">2</w:t>
            </w:r>
          </w:p>
        </w:tc>
      </w:tr>
      <w:tr>
        <w:tc>
          <w:tcPr/>
          <w:p>
            <w:pPr>
              <w:pStyle w:val="Compact"/>
              <w:jc w:val="left"/>
            </w:pPr>
            <w:r>
              <w:t xml:space="preserve">Sample Containers</w:t>
            </w:r>
          </w:p>
        </w:tc>
        <w:tc>
          <w:tcPr/>
          <w:p>
            <w:pPr>
              <w:pStyle w:val="Compact"/>
              <w:jc w:val="left"/>
            </w:pPr>
            <w:r>
              <w:t xml:space="preserve">High-density polyethylene (HDPE) bottles, acid-washed</w:t>
            </w:r>
          </w:p>
        </w:tc>
        <w:tc>
          <w:tcPr/>
          <w:p>
            <w:pPr>
              <w:pStyle w:val="Compact"/>
              <w:jc w:val="left"/>
            </w:pPr>
            <w:r>
              <w:t xml:space="preserve">30</w:t>
            </w:r>
          </w:p>
        </w:tc>
      </w:tr>
      <w:tr>
        <w:tc>
          <w:tcPr/>
          <w:p>
            <w:pPr>
              <w:pStyle w:val="Compact"/>
              <w:jc w:val="left"/>
            </w:pPr>
            <w:r>
              <w:t xml:space="preserve">GPS Device</w:t>
            </w:r>
          </w:p>
        </w:tc>
        <w:tc>
          <w:tcPr/>
          <w:p>
            <w:pPr>
              <w:pStyle w:val="Compact"/>
              <w:jc w:val="left"/>
            </w:pPr>
            <w:r>
              <w:t xml:space="preserve">Handheld unit with high accuracy for Kabul coordinates</w:t>
            </w:r>
          </w:p>
        </w:tc>
        <w:tc>
          <w:tcPr/>
          <w:p>
            <w:pPr>
              <w:pStyle w:val="Compact"/>
              <w:jc w:val="left"/>
            </w:pPr>
            <w:r>
              <w:t xml:space="preserve">2</w:t>
            </w:r>
          </w:p>
        </w:tc>
      </w:tr>
      <w:tr>
        <w:tc>
          <w:tcPr/>
          <w:p>
            <w:pPr>
              <w:pStyle w:val="Compact"/>
              <w:jc w:val="left"/>
            </w:pPr>
            <w:r>
              <w:t xml:space="preserve">Field Kit</w:t>
            </w:r>
          </w:p>
        </w:tc>
        <w:tc>
          <w:tcPr/>
          <w:p>
            <w:pPr>
              <w:pStyle w:val="Compact"/>
              <w:jc w:val="left"/>
            </w:pPr>
            <w:r>
              <w:t xml:space="preserve">pH meter, conductivity meter, dissolved oxygen probe</w:t>
            </w:r>
          </w:p>
        </w:tc>
        <w:tc>
          <w:tcPr/>
          <w:p>
            <w:pPr>
              <w:pStyle w:val="Compact"/>
              <w:jc w:val="left"/>
            </w:pPr>
            <w:r>
              <w:t xml:space="preserve">1</w:t>
            </w:r>
          </w:p>
        </w:tc>
      </w:tr>
      <w:tr>
        <w:tc>
          <w:tcPr/>
          <w:p>
            <w:pPr>
              <w:pStyle w:val="Compact"/>
              <w:jc w:val="left"/>
            </w:pPr>
            <w:r>
              <w:t xml:space="preserve">Cooling System</w:t>
            </w:r>
          </w:p>
        </w:tc>
        <w:tc>
          <w:tcPr/>
          <w:p>
            <w:pPr>
              <w:pStyle w:val="Compact"/>
              <w:jc w:val="left"/>
            </w:pPr>
            <w:r>
              <w:t xml:space="preserve">Insulated coolers with ice packs (critical due to high ambient temperatures)</w:t>
            </w:r>
          </w:p>
        </w:tc>
        <w:tc>
          <w:tcPr/>
          <w:p>
            <w:pPr>
              <w:pStyle w:val="Compact"/>
              <w:jc w:val="left"/>
            </w:pPr>
            <w:r>
              <w:t xml:space="preserve">2</w:t>
            </w:r>
          </w:p>
        </w:tc>
      </w:tr>
    </w:tbl>
    <w:bookmarkEnd w:id="23"/>
    <w:bookmarkStart w:id="26" w:name="sampling-methodology"/>
    <w:p>
      <w:pPr>
        <w:pStyle w:val="Heading2"/>
      </w:pPr>
      <w:r>
        <w:t xml:space="preserve">5. Sampling Methodology</w:t>
      </w:r>
    </w:p>
    <w:p>
      <w:pPr>
        <w:pStyle w:val="FirstParagraph"/>
      </w:pPr>
      <w:r>
        <w:t xml:space="preserve">The Environmental Engineer will oversee the sampling process to ensure data integrity. The protocol utilizes a stratified random sampling design across three designated zones in Kabul:</w:t>
      </w:r>
    </w:p>
    <w:p>
      <w:pPr>
        <w:numPr>
          <w:ilvl w:val="0"/>
          <w:numId w:val="1002"/>
        </w:numPr>
        <w:pStyle w:val="Compact"/>
      </w:pPr>
      <w:r>
        <w:rPr>
          <w:bCs/>
          <w:b/>
        </w:rPr>
        <w:t xml:space="preserve">Upstream Control Site:</w:t>
      </w:r>
      <w:r>
        <w:t xml:space="preserve"> </w:t>
      </w:r>
      <w:r>
        <w:t xml:space="preserve">Near the confluence of the Logar River (minimal industrial impact).</w:t>
      </w:r>
    </w:p>
    <w:p>
      <w:pPr>
        <w:numPr>
          <w:ilvl w:val="0"/>
          <w:numId w:val="1002"/>
        </w:numPr>
        <w:pStyle w:val="Compact"/>
      </w:pPr>
      <w:r>
        <w:rPr>
          <w:bCs/>
          <w:b/>
        </w:rPr>
        <w:t xml:space="preserve">Mid-Stream Industrial Zone:</w:t>
      </w:r>
      <w:r>
        <w:t xml:space="preserve"> </w:t>
      </w:r>
      <w:r>
        <w:t xml:space="preserve">Near the industrial areas of Pul-e-Sorkh and Shahr-e-Naw.</w:t>
      </w:r>
    </w:p>
    <w:p>
      <w:pPr>
        <w:numPr>
          <w:ilvl w:val="0"/>
          <w:numId w:val="1002"/>
        </w:numPr>
        <w:pStyle w:val="Compact"/>
      </w:pPr>
      <w:r>
        <w:rPr>
          <w:bCs/>
          <w:b/>
        </w:rPr>
        <w:t xml:space="preserve">Downstream Urban Zone:</w:t>
      </w:r>
      <w:r>
        <w:t xml:space="preserve"> </w:t>
      </w:r>
      <w:r>
        <w:t xml:space="preserve">Near the exit of Kabul city towards the Panjshir Valley.</w:t>
      </w:r>
    </w:p>
    <w:bookmarkStart w:id="24" w:name="pre-sampling-preparation"/>
    <w:p>
      <w:pPr>
        <w:pStyle w:val="Heading3"/>
      </w:pPr>
      <w:r>
        <w:t xml:space="preserve">5.1 Pre-Sampling Preparation</w:t>
      </w:r>
    </w:p>
    <w:p>
      <w:pPr>
        <w:pStyle w:val="FirstParagraph"/>
      </w:pPr>
      <w:r>
        <w:t xml:space="preserve">All glassware and plastic containers must be acid-washed with 10% nitric acid and rinsed with deionized water to prevent cross-contamination. The Environmental Engineer must verify the calibration of all electronic field instruments prior to departure.</w:t>
      </w:r>
    </w:p>
    <w:bookmarkEnd w:id="24"/>
    <w:bookmarkStart w:id="25" w:name="field-collection-procedure"/>
    <w:p>
      <w:pPr>
        <w:pStyle w:val="Heading3"/>
      </w:pPr>
      <w:r>
        <w:t xml:space="preserve">5.2 Field Collection Procedure</w:t>
      </w:r>
    </w:p>
    <w:p>
      <w:pPr>
        <w:pStyle w:val="FirstParagraph"/>
      </w:pPr>
      <w:r>
        <w:t xml:space="preserve">At each site, the GPS coordinates and time must be recorded. The sampler is lowered to the riverbed to collect approximately 500 grams of surface sediment (top 5 cm). Triplicate samples are taken at each location to ensure statistical validity.</w:t>
      </w:r>
    </w:p>
    <w:p>
      <w:pPr>
        <w:pStyle w:val="BodyText"/>
      </w:pPr>
      <w:r>
        <w:t xml:space="preserve">Immediately upon collection, samples are placed into pre-labeled HDPE bottles. The bottles are sealed tightly and placed in coolers maintained at 4°C. This step is vital in the hot climate of Afghanistan Kabul to inhibit biological activity that could alter metal speciation.</w:t>
      </w:r>
    </w:p>
    <w:bookmarkEnd w:id="25"/>
    <w:bookmarkEnd w:id="26"/>
    <w:bookmarkStart w:id="27" w:name="laboratory-analysis"/>
    <w:p>
      <w:pPr>
        <w:pStyle w:val="Heading2"/>
      </w:pPr>
      <w:r>
        <w:t xml:space="preserve">6. Laboratory Analysis</w:t>
      </w:r>
    </w:p>
    <w:p>
      <w:pPr>
        <w:pStyle w:val="FirstParagraph"/>
      </w:pPr>
      <w:r>
        <w:t xml:space="preserve">Samples must be transported to the accredited laboratory within 24 hours. The analysis will follow the following steps:</w:t>
      </w:r>
    </w:p>
    <w:p>
      <w:pPr>
        <w:numPr>
          <w:ilvl w:val="0"/>
          <w:numId w:val="1003"/>
        </w:numPr>
        <w:pStyle w:val="Compact"/>
      </w:pPr>
      <w:r>
        <w:rPr>
          <w:bCs/>
          <w:b/>
        </w:rPr>
        <w:t xml:space="preserve">Drying:</w:t>
      </w:r>
      <w:r>
        <w:t xml:space="preserve"> </w:t>
      </w:r>
      <w:r>
        <w:t xml:space="preserve">Samples are air-dried at room temperature and ground to pass through a 2mm sieve.</w:t>
      </w:r>
    </w:p>
    <w:p>
      <w:pPr>
        <w:numPr>
          <w:ilvl w:val="0"/>
          <w:numId w:val="1003"/>
        </w:numPr>
        <w:pStyle w:val="Compact"/>
      </w:pPr>
      <w:r>
        <w:rPr>
          <w:bCs/>
          <w:b/>
        </w:rPr>
        <w:t xml:space="preserve">Digestion:</w:t>
      </w:r>
      <w:r>
        <w:t xml:space="preserve"> </w:t>
      </w:r>
      <w:r>
        <w:t xml:space="preserve">A 0.5g subsample is digested using a mixture of nitric and hydrochloric acid (Aqua Regia) in a hot plate.</w:t>
      </w:r>
    </w:p>
    <w:p>
      <w:pPr>
        <w:numPr>
          <w:ilvl w:val="0"/>
          <w:numId w:val="1003"/>
        </w:numPr>
        <w:pStyle w:val="Compact"/>
      </w:pPr>
      <w:r>
        <w:rPr>
          <w:bCs/>
          <w:b/>
        </w:rPr>
        <w:t xml:space="preserve">Quantification:</w:t>
      </w:r>
      <w:r>
        <w:t xml:space="preserve"> </w:t>
      </w:r>
      <w:r>
        <w:t xml:space="preserve">Metal concentrations are measured using Atomic Absorption Spectroscopy (AAS) or Inductively Coupled Plasma Mass Spectrometry (ICP-MS).</w:t>
      </w:r>
    </w:p>
    <w:bookmarkEnd w:id="27"/>
    <w:bookmarkStart w:id="28" w:name="data-management-and-reporting"/>
    <w:p>
      <w:pPr>
        <w:pStyle w:val="Heading2"/>
      </w:pPr>
      <w:r>
        <w:t xml:space="preserve">7. Data Management and Reporting</w:t>
      </w:r>
    </w:p>
    <w:p>
      <w:pPr>
        <w:pStyle w:val="FirstParagraph"/>
      </w:pPr>
      <w:r>
        <w:t xml:space="preserve">The Environmental Engineer is responsible for compiling the raw data into a comprehensive report. Results will be compared against World Health Organization (WHO) guidelines for freshwater sediment quality. Any exceedance of safety limits must be highlighted immediately. The report will include recommendations for waste management improvements in Kabul, such as the installation of effluent treatment plants for local industries.</w:t>
      </w:r>
    </w:p>
    <w:bookmarkEnd w:id="28"/>
    <w:bookmarkStart w:id="29" w:name="conclusion"/>
    <w:p>
      <w:pPr>
        <w:pStyle w:val="Heading2"/>
      </w:pPr>
      <w:r>
        <w:t xml:space="preserve">8. Conclusion</w:t>
      </w:r>
    </w:p>
    <w:p>
      <w:pPr>
        <w:pStyle w:val="FirstParagraph"/>
      </w:pPr>
      <w:r>
        <w:t xml:space="preserve">This Experiment Protocol provides a robust framework for assessing the environmental quality of the Kabul River. By adhering to these procedures, the Environmental Engineer ensures that the data collected is scientifically valid, safe to obtain, and actionable for improving the environmental health of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Kabul, Afghanistan</dc:title>
  <dc:creator/>
  <dc:language>en</dc:language>
  <cp:keywords/>
  <dcterms:created xsi:type="dcterms:W3CDTF">2026-10-10T01:12:50Z</dcterms:created>
  <dcterms:modified xsi:type="dcterms:W3CDTF">2026-10-10T01:12:50Z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