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p>
    <w:bookmarkStart w:id="30" w:name="X2c8b5f719f5a774a9096fe98f4390b62305ccc9"/>
    <w:p>
      <w:pPr>
        <w:pStyle w:val="Heading1"/>
      </w:pPr>
      <w:r>
        <w:t xml:space="preserve">Experiment Protocol: Urban Stormwater Quality Assessment in Australia Melbourne</w:t>
      </w:r>
    </w:p>
    <w:p>
      <w:pPr>
        <w:pStyle w:val="FirstParagraph"/>
      </w:pPr>
      <w:r>
        <w:rPr>
          <w:bCs/>
          <w:b/>
        </w:rPr>
        <w:t xml:space="preserve">Document ID:</w:t>
      </w:r>
      <w:r>
        <w:t xml:space="preserve"> </w:t>
      </w:r>
      <w:r>
        <w:t xml:space="preserve">MEL-ENV-EXP-2023-04</w:t>
      </w:r>
    </w:p>
    <w:p>
      <w:pPr>
        <w:pStyle w:val="BodyText"/>
      </w:pPr>
      <w:r>
        <w:rPr>
          <w:bCs/>
          <w:b/>
        </w:rPr>
        <w:t xml:space="preserve">Prepared By:</w:t>
      </w:r>
      <w:r>
        <w:t xml:space="preserve"> </w:t>
      </w:r>
      <w:r>
        <w:t xml:space="preserve">Senior Environmental Engineer</w:t>
      </w:r>
    </w:p>
    <w:p>
      <w:pPr>
        <w:pStyle w:val="BodyText"/>
      </w:pPr>
      <w:r>
        <w:rPr>
          <w:bCs/>
          <w:b/>
        </w:rPr>
        <w:t xml:space="preserve">Location:</w:t>
      </w:r>
      <w:r>
        <w:t xml:space="preserve"> </w:t>
      </w:r>
      <w:r>
        <w:t xml:space="preserve">Melbourne, Victoria, Australia</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assessing the quality of urban stormwater runoff in the metropolitan region of Australia Melbourne. As an Environmental Engineer operating within the strict regulatory framework of the Victorian Environmental Protection Authority (EPA), the primary objective is to quantify the concentration of Total Suspended Solids (TSS), heavy metals (specifically Lead and Zinc), and nutrient loads (Nitrogen and Phosphorus) in stormwater discharging into local waterways.</w:t>
      </w:r>
    </w:p>
    <w:p>
      <w:pPr>
        <w:pStyle w:val="BodyText"/>
      </w:pPr>
      <w:r>
        <w:t xml:space="preserve">Melbourne's unique climate, characterized by variable rainfall patterns and distinct seasons, necessitates a robust sampling strategy. This protocol ensures that data collected is scientifically valid, legally defensible, and useful for designing effective stormwater treatment systems compliant with the</w:t>
      </w:r>
      <w:r>
        <w:t xml:space="preserve"> </w:t>
      </w:r>
      <w:r>
        <w:rPr>
          <w:iCs/>
          <w:i/>
        </w:rPr>
        <w:t xml:space="preserve">Melbourne Water Urban Stormwater Best Practice Environmental Management Guidelines</w:t>
      </w:r>
      <w:r>
        <w:t xml:space="preserve">.</w:t>
      </w:r>
    </w:p>
    <w:bookmarkEnd w:id="20"/>
    <w:bookmarkStart w:id="21" w:name="scope-and-site-description"/>
    <w:p>
      <w:pPr>
        <w:pStyle w:val="Heading2"/>
      </w:pPr>
      <w:r>
        <w:t xml:space="preserve">2. Scope and Site Description</w:t>
      </w:r>
    </w:p>
    <w:p>
      <w:pPr>
        <w:pStyle w:val="FirstParagraph"/>
      </w:pPr>
      <w:r>
        <w:t xml:space="preserve">The scope of this experiment is limited to the sampling of stormwater outfalls from residential and commercial catchments within the City of Yarra and City of Melbourne local government areas. The Environmental Engineer will focus on sites where runoff flows into tributaries of the Yarra River.</w:t>
      </w:r>
    </w:p>
    <w:p>
      <w:pPr>
        <w:pStyle w:val="BodyText"/>
      </w:pPr>
      <w:r>
        <w:t xml:space="preserve">Specific attention will be paid to the impact of urban impervious surfaces on water quality. The protocol assumes that the Environmental Engineer has secured all necessary permits from local councils and landowners prior to site access.</w:t>
      </w:r>
    </w:p>
    <w:bookmarkEnd w:id="21"/>
    <w:bookmarkStart w:id="22" w:name="regulatory-compliance-and-safety"/>
    <w:p>
      <w:pPr>
        <w:pStyle w:val="Heading2"/>
      </w:pPr>
      <w:r>
        <w:t xml:space="preserve">3. Regulatory Compliance and Safety</w:t>
      </w:r>
    </w:p>
    <w:p>
      <w:pPr>
        <w:pStyle w:val="FirstParagraph"/>
      </w:pPr>
      <w:r>
        <w:t xml:space="preserve">All activities must comply with the</w:t>
      </w:r>
      <w:r>
        <w:t xml:space="preserve"> </w:t>
      </w:r>
      <w:r>
        <w:rPr>
          <w:iCs/>
          <w:i/>
        </w:rPr>
        <w:t xml:space="preserve">Environment Protection Act 2017 (Vic)</w:t>
      </w:r>
      <w:r>
        <w:t xml:space="preserve"> </w:t>
      </w:r>
      <w:r>
        <w:t xml:space="preserve">and Australian Standards for water sampling (AS/NZS 5667 series). Safety is paramount. The Environmental Engineer must adhere to the following safety protocols:</w:t>
      </w:r>
    </w:p>
    <w:p>
      <w:pPr>
        <w:numPr>
          <w:ilvl w:val="0"/>
          <w:numId w:val="1001"/>
        </w:numPr>
        <w:pStyle w:val="Compact"/>
      </w:pPr>
      <w:r>
        <w:t xml:space="preserve">Wear appropriate Personal Protective Equipment (PPE), including high-visibility clothing, safety boots, gloves, and eye protection.</w:t>
      </w:r>
    </w:p>
    <w:p>
      <w:pPr>
        <w:numPr>
          <w:ilvl w:val="0"/>
          <w:numId w:val="1001"/>
        </w:numPr>
        <w:pStyle w:val="Compact"/>
      </w:pPr>
      <w:r>
        <w:t xml:space="preserve">Conduct a Job Safety Analysis (JSA) before entering any confined spaces or working near active traffic.</w:t>
      </w:r>
    </w:p>
    <w:p>
      <w:pPr>
        <w:numPr>
          <w:ilvl w:val="0"/>
          <w:numId w:val="1001"/>
        </w:numPr>
        <w:pStyle w:val="Compact"/>
      </w:pPr>
      <w:r>
        <w:t xml:space="preserve">Be aware of the risks associated with flash flooding during Melbourne's intense rainfall events.</w:t>
      </w:r>
    </w:p>
    <w:p>
      <w:pPr>
        <w:numPr>
          <w:ilvl w:val="0"/>
          <w:numId w:val="1001"/>
        </w:numPr>
        <w:pStyle w:val="Compact"/>
      </w:pPr>
      <w:r>
        <w:t xml:space="preserve">Handle all chemical reagents and biological samples according to the Safety Data Sheets (SDS).</w:t>
      </w:r>
    </w:p>
    <w:bookmarkEnd w:id="22"/>
    <w:bookmarkStart w:id="23" w:name="materials-and-equipment"/>
    <w:p>
      <w:pPr>
        <w:pStyle w:val="Heading2"/>
      </w:pPr>
      <w:r>
        <w:t xml:space="preserve">4. Materials and Equipment</w:t>
      </w:r>
    </w:p>
    <w:p>
      <w:pPr>
        <w:pStyle w:val="FirstParagraph"/>
      </w:pPr>
      <w:r>
        <w:t xml:space="preserve">The following equipment is required for the execution of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1L HDPE, acid-washed for metals; Glass for nutrients</w:t>
            </w:r>
          </w:p>
        </w:tc>
        <w:tc>
          <w:tcPr/>
          <w:p>
            <w:pPr>
              <w:pStyle w:val="Compact"/>
              <w:jc w:val="left"/>
            </w:pPr>
            <w:r>
              <w:t xml:space="preserve">20</w:t>
            </w:r>
          </w:p>
        </w:tc>
      </w:tr>
      <w:tr>
        <w:tc>
          <w:tcPr/>
          <w:p>
            <w:pPr>
              <w:pStyle w:val="Compact"/>
              <w:jc w:val="left"/>
            </w:pPr>
            <w:r>
              <w:t xml:space="preserve">Flow Meter</w:t>
            </w:r>
          </w:p>
        </w:tc>
        <w:tc>
          <w:tcPr/>
          <w:p>
            <w:pPr>
              <w:pStyle w:val="Compact"/>
              <w:jc w:val="left"/>
            </w:pPr>
            <w:r>
              <w:t xml:space="preserve">Acoustic Doppler Current Profiler (ADCP)</w:t>
            </w:r>
          </w:p>
        </w:tc>
        <w:tc>
          <w:tcPr/>
          <w:p>
            <w:pPr>
              <w:pStyle w:val="Compact"/>
              <w:jc w:val="left"/>
            </w:pPr>
            <w:r>
              <w:t xml:space="preserve">1</w:t>
            </w:r>
          </w:p>
        </w:tc>
      </w:tr>
      <w:tr>
        <w:tc>
          <w:tcPr/>
          <w:p>
            <w:pPr>
              <w:pStyle w:val="Compact"/>
              <w:jc w:val="left"/>
            </w:pPr>
            <w:r>
              <w:t xml:space="preserve">pH/Conductivity Meter</w:t>
            </w:r>
          </w:p>
        </w:tc>
        <w:tc>
          <w:tcPr/>
          <w:p>
            <w:pPr>
              <w:pStyle w:val="Compact"/>
              <w:jc w:val="left"/>
            </w:pPr>
            <w:r>
              <w:t xml:space="preserve">Calibrated, portable</w:t>
            </w:r>
          </w:p>
        </w:tc>
        <w:tc>
          <w:tcPr/>
          <w:p>
            <w:pPr>
              <w:pStyle w:val="Compact"/>
              <w:jc w:val="left"/>
            </w:pPr>
            <w:r>
              <w:t xml:space="preserve">1</w:t>
            </w:r>
          </w:p>
        </w:tc>
      </w:tr>
      <w:tr>
        <w:tc>
          <w:tcPr/>
          <w:p>
            <w:pPr>
              <w:pStyle w:val="Compact"/>
              <w:jc w:val="left"/>
            </w:pPr>
            <w:r>
              <w:t xml:space="preserve">Cooler Box</w:t>
            </w:r>
          </w:p>
        </w:tc>
        <w:tc>
          <w:tcPr/>
          <w:p>
            <w:pPr>
              <w:pStyle w:val="Compact"/>
              <w:jc w:val="left"/>
            </w:pPr>
            <w:r>
              <w:t xml:space="preserve">Insulated with ice packs (maintain 4°C)</w:t>
            </w:r>
          </w:p>
        </w:tc>
        <w:tc>
          <w:tcPr/>
          <w:p>
            <w:pPr>
              <w:pStyle w:val="Compact"/>
              <w:jc w:val="left"/>
            </w:pPr>
            <w:r>
              <w:t xml:space="preserve">2</w:t>
            </w:r>
          </w:p>
        </w:tc>
      </w:tr>
      <w:tr>
        <w:tc>
          <w:tcPr/>
          <w:p>
            <w:pPr>
              <w:pStyle w:val="Compact"/>
              <w:jc w:val="left"/>
            </w:pPr>
            <w:r>
              <w:t xml:space="preserve">GPS Unit</w:t>
            </w:r>
          </w:p>
        </w:tc>
        <w:tc>
          <w:tcPr/>
          <w:p>
            <w:pPr>
              <w:pStyle w:val="Compact"/>
              <w:jc w:val="left"/>
            </w:pPr>
            <w:r>
              <w:t xml:space="preserve">High-precision for site location</w:t>
            </w:r>
          </w:p>
        </w:tc>
        <w:tc>
          <w:tcPr/>
          <w:p>
            <w:pPr>
              <w:pStyle w:val="Compact"/>
              <w:jc w:val="left"/>
            </w:pPr>
            <w:r>
              <w:t xml:space="preserve">1</w:t>
            </w:r>
          </w:p>
        </w:tc>
      </w:tr>
    </w:tbl>
    <w:bookmarkEnd w:id="23"/>
    <w:bookmarkStart w:id="27" w:name="methodology"/>
    <w:p>
      <w:pPr>
        <w:pStyle w:val="Heading2"/>
      </w:pPr>
      <w:r>
        <w:t xml:space="preserve">5. Methodology</w:t>
      </w:r>
    </w:p>
    <w:bookmarkStart w:id="24" w:name="pre-sampling-preparation"/>
    <w:p>
      <w:pPr>
        <w:pStyle w:val="Heading3"/>
      </w:pPr>
      <w:r>
        <w:t xml:space="preserve">5.1 Pre-Sampling Preparation</w:t>
      </w:r>
    </w:p>
    <w:p>
      <w:pPr>
        <w:pStyle w:val="FirstParagraph"/>
      </w:pPr>
      <w:r>
        <w:t xml:space="preserve">The Environmental Engineer must calibrate all field instruments 24 hours prior to sampling. Bottles must be pre-labeled with unique sample IDs, date, time, and site location. A field notebook must be prepared to record meteorological conditions, including rainfall intensity and duration, which are critical for interpreting stormwater data in Melbourne.</w:t>
      </w:r>
    </w:p>
    <w:bookmarkEnd w:id="24"/>
    <w:bookmarkStart w:id="25" w:name="sampling-strategy"/>
    <w:p>
      <w:pPr>
        <w:pStyle w:val="Heading3"/>
      </w:pPr>
      <w:r>
        <w:t xml:space="preserve">5.2 Sampling Strategy</w:t>
      </w:r>
    </w:p>
    <w:p>
      <w:pPr>
        <w:pStyle w:val="FirstParagraph"/>
      </w:pPr>
      <w:r>
        <w:t xml:space="preserve">Sampling will be conducted during rainfall events exceeding 5mm in duration. The protocol utilizes a flow-proportional composite sampling method to capture the "first flush" phenomenon, which is known to carry the highest pollutant loads in urban environments.</w:t>
      </w:r>
    </w:p>
    <w:p>
      <w:pPr>
        <w:numPr>
          <w:ilvl w:val="0"/>
          <w:numId w:val="1002"/>
        </w:numPr>
        <w:pStyle w:val="Compact"/>
      </w:pPr>
      <w:r>
        <w:rPr>
          <w:bCs/>
          <w:b/>
        </w:rPr>
        <w:t xml:space="preserve">Site Arrival:</w:t>
      </w:r>
      <w:r>
        <w:t xml:space="preserve"> </w:t>
      </w:r>
      <w:r>
        <w:t xml:space="preserve">Arrive at the designated outfall in Australia Melbourne at least 30 minutes before the predicted peak flow.</w:t>
      </w:r>
    </w:p>
    <w:p>
      <w:pPr>
        <w:numPr>
          <w:ilvl w:val="0"/>
          <w:numId w:val="1002"/>
        </w:numPr>
        <w:pStyle w:val="Compact"/>
      </w:pPr>
      <w:r>
        <w:rPr>
          <w:bCs/>
          <w:b/>
        </w:rPr>
        <w:t xml:space="preserve">Initial Measurement:</w:t>
      </w:r>
      <w:r>
        <w:t xml:space="preserve"> </w:t>
      </w:r>
      <w:r>
        <w:t xml:space="preserve">Measure and record pH, temperature, dissolved oxygen, and electrical conductivity at the sampling point.</w:t>
      </w:r>
    </w:p>
    <w:p>
      <w:pPr>
        <w:numPr>
          <w:ilvl w:val="0"/>
          <w:numId w:val="1002"/>
        </w:numPr>
        <w:pStyle w:val="Compact"/>
      </w:pPr>
      <w:r>
        <w:rPr>
          <w:bCs/>
          <w:b/>
        </w:rPr>
        <w:t xml:space="preserve">Sample Collection:</w:t>
      </w:r>
      <w:r>
        <w:t xml:space="preserve"> </w:t>
      </w:r>
      <w:r>
        <w:t xml:space="preserve">Collect grab samples at 15-minute intervals for the first hour of flow, then every 30 minutes thereafter for a total duration of 4 hours. Ensure samples are taken from the mid-stream to avoid sediment resuspension from the bottom.</w:t>
      </w:r>
    </w:p>
    <w:p>
      <w:pPr>
        <w:numPr>
          <w:ilvl w:val="0"/>
          <w:numId w:val="1002"/>
        </w:numPr>
        <w:pStyle w:val="Compact"/>
      </w:pPr>
      <w:r>
        <w:rPr>
          <w:bCs/>
          <w:b/>
        </w:rPr>
        <w:t xml:space="preserve">Preservation:</w:t>
      </w:r>
      <w:r>
        <w:t xml:space="preserve"> </w:t>
      </w:r>
      <w:r>
        <w:t xml:space="preserve">Immediately place metal samples in the cooler with ice packs. Add preservatives (e.g., nitric acid for metals) as per laboratory instructions.</w:t>
      </w:r>
    </w:p>
    <w:bookmarkEnd w:id="25"/>
    <w:bookmarkStart w:id="26" w:name="X821d2f34bdaf57637cbbf49b6dc1cefe6766a7d"/>
    <w:p>
      <w:pPr>
        <w:pStyle w:val="Heading3"/>
      </w:pPr>
      <w:r>
        <w:t xml:space="preserve">5.3 Quality Assurance and Quality Control (QA/QC)</w:t>
      </w:r>
    </w:p>
    <w:p>
      <w:pPr>
        <w:pStyle w:val="FirstParagraph"/>
      </w:pPr>
      <w:r>
        <w:t xml:space="preserve">To ensure data integrity, the Environmental Engineer must collect a field blank and a duplicate sample for every 10 samples taken. The field blank involves taking deionized water to the site, exposing it to the atmosphere for the same duration as the samples, and sealing it. This helps identify any contamination introduced during the sampling process.</w:t>
      </w:r>
    </w:p>
    <w:bookmarkEnd w:id="26"/>
    <w:bookmarkEnd w:id="27"/>
    <w:bookmarkStart w:id="28" w:name="data-analysis-and-reporting"/>
    <w:p>
      <w:pPr>
        <w:pStyle w:val="Heading2"/>
      </w:pPr>
      <w:r>
        <w:t xml:space="preserve">6. Data Analysis and Reporting</w:t>
      </w:r>
    </w:p>
    <w:p>
      <w:pPr>
        <w:pStyle w:val="FirstParagraph"/>
      </w:pPr>
      <w:r>
        <w:t xml:space="preserve">Upon return to the laboratory, samples will be analyzed using Inductively Coupled Plasma Mass Spectrometry (ICP-MS) for heavy metals and spectrophotometry for nutrients. The Environmental Engineer will compile the data into a comprehensive report.</w:t>
      </w:r>
    </w:p>
    <w:p>
      <w:pPr>
        <w:pStyle w:val="BodyText"/>
      </w:pPr>
      <w:r>
        <w:t xml:space="preserve">The report will compare the results against the</w:t>
      </w:r>
      <w:r>
        <w:t xml:space="preserve"> </w:t>
      </w:r>
      <w:r>
        <w:rPr>
          <w:iCs/>
          <w:i/>
        </w:rPr>
        <w:t xml:space="preserve">Australian and New Zealand Guidelines for Fresh and Marine Water Quality</w:t>
      </w:r>
      <w:r>
        <w:t xml:space="preserve">. Special emphasis will be placed on identifying exceedances of trigger values for toxicity to aquatic life in the Yarra River system. Recommendations for mitigation measures, such as the installation of bio-retention systems or sediment traps, will be provided based on the findings.</w:t>
      </w:r>
    </w:p>
    <w:bookmarkEnd w:id="28"/>
    <w:bookmarkStart w:id="29" w:name="conclusion"/>
    <w:p>
      <w:pPr>
        <w:pStyle w:val="Heading2"/>
      </w:pPr>
      <w:r>
        <w:t xml:space="preserve">7. Conclusion</w:t>
      </w:r>
    </w:p>
    <w:p>
      <w:pPr>
        <w:pStyle w:val="FirstParagraph"/>
      </w:pPr>
      <w:r>
        <w:t xml:space="preserve">This Experiment Protocol provides a rigorous framework for the Environmental Engineer to assess stormwater quality in Australia Melbourne. By adhering to these procedures, we ensure that our engineering solutions are based on accurate, reliable, and scientifically sound data, ultimately contributing to the protection of Melbourne's precious water resources and urban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dc:title>
  <dc:creator/>
  <dc:language>en</dc:language>
  <cp:keywords/>
  <dcterms:created xsi:type="dcterms:W3CDTF">2026-10-10T01:39:56Z</dcterms:created>
  <dcterms:modified xsi:type="dcterms:W3CDTF">2026-10-10T01:39:56Z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