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Stormwater</w:t>
      </w:r>
      <w:r>
        <w:t xml:space="preserve"> </w:t>
      </w:r>
      <w:r>
        <w:t xml:space="preserve">Quality</w:t>
      </w:r>
      <w:r>
        <w:t xml:space="preserve"> </w:t>
      </w:r>
      <w:r>
        <w:t xml:space="preserve">Assessment</w:t>
      </w:r>
    </w:p>
    <w:bookmarkStart w:id="20" w:name="Xfabfb30d5d4bd615d1079e7806ceef1c0bf5a60"/>
    <w:p>
      <w:pPr>
        <w:pStyle w:val="Heading1"/>
      </w:pPr>
      <w:r>
        <w:t xml:space="preserve">Experiment Protocol: Urban Stormwater Quality Assessment</w:t>
      </w:r>
    </w:p>
    <w:p>
      <w:pPr>
        <w:pStyle w:val="FirstParagraph"/>
      </w:pPr>
      <w:r>
        <w:rPr>
          <w:bCs/>
          <w:b/>
        </w:rPr>
        <w:t xml:space="preserve">Project Title:</w:t>
      </w:r>
      <w:r>
        <w:t xml:space="preserve"> </w:t>
      </w:r>
      <w:r>
        <w:t xml:space="preserve">Assessment of Heavy Metal and Nutrient Loads in Post-Runoff Events</w:t>
      </w:r>
    </w:p>
    <w:p>
      <w:pPr>
        <w:pStyle w:val="BodyText"/>
      </w:pPr>
      <w:r>
        <w:rPr>
          <w:bCs/>
          <w:b/>
        </w:rPr>
        <w:t xml:space="preserve">Location:</w:t>
      </w:r>
      <w:r>
        <w:t xml:space="preserve"> </w:t>
      </w:r>
      <w:r>
        <w:t xml:space="preserve">Australia Sydney (Specifically: Lane Cove River Catchment, Inner West)</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objectives"/>
    <w:p>
      <w:pPr>
        <w:pStyle w:val="Heading2"/>
      </w:pPr>
      <w:r>
        <w:t xml:space="preserve">1. Introduction and Objectives</w:t>
      </w:r>
    </w:p>
    <w:p>
      <w:pPr>
        <w:pStyle w:val="FirstParagraph"/>
      </w:pPr>
      <w:r>
        <w:t xml:space="preserve">This Experiment Protocol outlines the rigorous methodology to be employed by the Environmental Engineer team to assess water quality parameters within the urban drainage systems of Australia Sydney. As a major coastal metropolis, Sydney faces unique environmental challenges regarding urban runoff, particularly during the wet season. The primary objective of this experiment is to quantify the concentration of Total Suspended Solids (TSS), Total Phosphorus (TP), Total Nitrogen (TN), and heavy metals (specifically Lead, Zinc, and Copper) in stormwater runoff.</w:t>
      </w:r>
    </w:p>
    <w:p>
      <w:pPr>
        <w:pStyle w:val="BodyText"/>
      </w:pPr>
      <w:r>
        <w:t xml:space="preserve">The data collected will inform the design of Best Management Practices (BMPs) and assist in compliance with the</w:t>
      </w:r>
      <w:r>
        <w:t xml:space="preserve"> </w:t>
      </w:r>
      <w:r>
        <w:rPr>
          <w:iCs/>
          <w:i/>
        </w:rPr>
        <w:t xml:space="preserve">Protection of the Environment Operations Act 1997 (NSW)</w:t>
      </w:r>
      <w:r>
        <w:t xml:space="preserve">. This protocol ensures that all sampling and analysis are conducted with scientific integrity, safety, and regulatory adherence.</w:t>
      </w:r>
    </w:p>
    <w:bookmarkEnd w:id="21"/>
    <w:bookmarkStart w:id="22" w:name="scope-and-site-description"/>
    <w:p>
      <w:pPr>
        <w:pStyle w:val="Heading2"/>
      </w:pPr>
      <w:r>
        <w:t xml:space="preserve">2. Scope and Site Description</w:t>
      </w:r>
    </w:p>
    <w:p>
      <w:pPr>
        <w:pStyle w:val="FirstParagraph"/>
      </w:pPr>
      <w:r>
        <w:t xml:space="preserve">The scope of this experiment is limited to three designated sampling points within the Lane Cove River catchment in Australia Sydney. These points represent high-density residential and commercial zones. The Environmental Engineer must ensure that the sampling strategy accounts for the variability of rainfall intensity typical of the Sydney climate.</w:t>
      </w:r>
    </w:p>
    <w:p>
      <w:pPr>
        <w:numPr>
          <w:ilvl w:val="0"/>
          <w:numId w:val="1001"/>
        </w:numPr>
        <w:pStyle w:val="Compact"/>
      </w:pPr>
      <w:r>
        <w:rPr>
          <w:bCs/>
          <w:b/>
        </w:rPr>
        <w:t xml:space="preserve">Site A:</w:t>
      </w:r>
      <w:r>
        <w:t xml:space="preserve"> </w:t>
      </w:r>
      <w:r>
        <w:t xml:space="preserve">Outlet of the Glebe Point Park stormwater drain.</w:t>
      </w:r>
    </w:p>
    <w:p>
      <w:pPr>
        <w:numPr>
          <w:ilvl w:val="0"/>
          <w:numId w:val="1001"/>
        </w:numPr>
        <w:pStyle w:val="Compact"/>
      </w:pPr>
      <w:r>
        <w:rPr>
          <w:bCs/>
          <w:b/>
        </w:rPr>
        <w:t xml:space="preserve">Site B:</w:t>
      </w:r>
      <w:r>
        <w:t xml:space="preserve"> </w:t>
      </w:r>
      <w:r>
        <w:t xml:space="preserve">Mid-catchment flow path near the Sydney Olympic Park.</w:t>
      </w:r>
    </w:p>
    <w:p>
      <w:pPr>
        <w:numPr>
          <w:ilvl w:val="0"/>
          <w:numId w:val="1001"/>
        </w:numPr>
        <w:pStyle w:val="Compact"/>
      </w:pPr>
      <w:r>
        <w:rPr>
          <w:bCs/>
          <w:b/>
        </w:rPr>
        <w:t xml:space="preserve">Site C:</w:t>
      </w:r>
      <w:r>
        <w:t xml:space="preserve"> </w:t>
      </w:r>
      <w:r>
        <w:t xml:space="preserve">Control site upstream of major urban development.</w:t>
      </w:r>
    </w:p>
    <w:bookmarkEnd w:id="22"/>
    <w:bookmarkStart w:id="23" w:name="regulatory-compliance-and-safety"/>
    <w:p>
      <w:pPr>
        <w:pStyle w:val="Heading2"/>
      </w:pPr>
      <w:r>
        <w:t xml:space="preserve">3. Regulatory Compliance and Safety</w:t>
      </w:r>
    </w:p>
    <w:p>
      <w:pPr>
        <w:pStyle w:val="FirstParagraph"/>
      </w:pPr>
      <w:r>
        <w:t xml:space="preserve">As an Environmental Engineer operating in Australia Sydney, strict adherence to local and state regulations is mandatory. This experiment must comply with:</w:t>
      </w:r>
    </w:p>
    <w:p>
      <w:pPr>
        <w:numPr>
          <w:ilvl w:val="0"/>
          <w:numId w:val="1002"/>
        </w:numPr>
        <w:pStyle w:val="Compact"/>
      </w:pPr>
      <w:r>
        <w:rPr>
          <w:bCs/>
          <w:b/>
        </w:rPr>
        <w:t xml:space="preserve">NSW EPA Guidelines:</w:t>
      </w:r>
      <w:r>
        <w:t xml:space="preserve"> </w:t>
      </w:r>
      <w:r>
        <w:t xml:space="preserve">Specifically regarding water quality monitoring and sampling.</w:t>
      </w:r>
    </w:p>
    <w:p>
      <w:pPr>
        <w:numPr>
          <w:ilvl w:val="0"/>
          <w:numId w:val="1002"/>
        </w:numPr>
        <w:pStyle w:val="Compact"/>
      </w:pPr>
      <w:r>
        <w:rPr>
          <w:bCs/>
          <w:b/>
        </w:rPr>
        <w:t xml:space="preserve">Australian Standards (AS/NZS):</w:t>
      </w:r>
      <w:r>
        <w:t xml:space="preserve"> </w:t>
      </w:r>
      <w:r>
        <w:t xml:space="preserve">Including AS/NZS 5667.1 for water sampling general guidance.</w:t>
      </w:r>
    </w:p>
    <w:p>
      <w:pPr>
        <w:numPr>
          <w:ilvl w:val="0"/>
          <w:numId w:val="1002"/>
        </w:numPr>
        <w:pStyle w:val="Compact"/>
      </w:pPr>
      <w:r>
        <w:rPr>
          <w:bCs/>
          <w:b/>
        </w:rPr>
        <w:t xml:space="preserve">Work Health and Safety (WHS) Act 2011 (NSW):</w:t>
      </w:r>
      <w:r>
        <w:t xml:space="preserve"> </w:t>
      </w:r>
      <w:r>
        <w:t xml:space="preserve">Ensuring the safety of all personnel during fieldwork.</w:t>
      </w:r>
    </w:p>
    <w:p>
      <w:pPr>
        <w:pStyle w:val="FirstParagraph"/>
      </w:pPr>
      <w:r>
        <w:rPr>
          <w:bCs/>
          <w:b/>
        </w:rPr>
        <w:t xml:space="preserve">Safety Warning:</w:t>
      </w:r>
      <w:r>
        <w:t xml:space="preserve"> </w:t>
      </w:r>
      <w:r>
        <w:t xml:space="preserve">Stormwater drains in Australia Sydney can present hazards including flash flooding, biological contaminants, and sharp debris. Personal Protective Equipment (PPE) including high-visibility clothing, safety boots, gloves, and eye protection is mandatory at all times.</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The Environmental Engineer must calibrate all field instruments, including pH meters, dissolved oxygen probes, and turbidity sensors, using standard solutions prior to deployment. Sampling bottles must be pre-cleaned according to AS/NZS 5667.3 to prevent contamination. A detailed risk assessment must be filed with the site supervisor.</w:t>
      </w:r>
    </w:p>
    <w:bookmarkEnd w:id="24"/>
    <w:bookmarkStart w:id="25" w:name="sampling-strategy"/>
    <w:p>
      <w:pPr>
        <w:pStyle w:val="Heading3"/>
      </w:pPr>
      <w:r>
        <w:t xml:space="preserve">4.2 Sampling Strategy</w:t>
      </w:r>
    </w:p>
    <w:p>
      <w:pPr>
        <w:pStyle w:val="FirstParagraph"/>
      </w:pPr>
      <w:r>
        <w:t xml:space="preserve">Sampling will be event-based, triggered by rainfall events exceeding 10mm within a 24-hour period. The Environmental Engineer will utilize a flow-proportional composite sampling method to capture the variability of pollutant loads throughout the storm event. This is critical in Australia Sydney, where the "first flush" phenomenon often carries the highest concentration of pollutants.</w:t>
      </w:r>
    </w:p>
    <w:bookmarkEnd w:id="25"/>
    <w:bookmarkStart w:id="26" w:name="field-procedures"/>
    <w:p>
      <w:pPr>
        <w:pStyle w:val="Heading3"/>
      </w:pPr>
      <w:r>
        <w:t xml:space="preserve">4.3 Field Procedures</w:t>
      </w:r>
    </w:p>
    <w:p>
      <w:pPr>
        <w:numPr>
          <w:ilvl w:val="0"/>
          <w:numId w:val="1003"/>
        </w:numPr>
        <w:pStyle w:val="Compact"/>
      </w:pPr>
      <w:r>
        <w:rPr>
          <w:bCs/>
          <w:b/>
        </w:rPr>
        <w:t xml:space="preserve">Arrival:</w:t>
      </w:r>
      <w:r>
        <w:t xml:space="preserve"> </w:t>
      </w:r>
      <w:r>
        <w:t xml:space="preserve">Arrive at the sampling site in Australia Sydney at least 30 minutes prior to the predicted peak flow.</w:t>
      </w:r>
    </w:p>
    <w:p>
      <w:pPr>
        <w:numPr>
          <w:ilvl w:val="0"/>
          <w:numId w:val="1003"/>
        </w:numPr>
        <w:pStyle w:val="Compact"/>
      </w:pPr>
      <w:r>
        <w:rPr>
          <w:bCs/>
          <w:b/>
        </w:rPr>
        <w:t xml:space="preserve">Setup:</w:t>
      </w:r>
      <w:r>
        <w:t xml:space="preserve"> </w:t>
      </w:r>
      <w:r>
        <w:t xml:space="preserve">Deploy the automated sampler or prepare for manual grab sampling if automated equipment is unavailable. Ensure the sampler is securely anchored.</w:t>
      </w:r>
    </w:p>
    <w:p>
      <w:pPr>
        <w:numPr>
          <w:ilvl w:val="0"/>
          <w:numId w:val="1003"/>
        </w:numPr>
        <w:pStyle w:val="Compact"/>
      </w:pPr>
      <w:r>
        <w:rPr>
          <w:bCs/>
          <w:b/>
        </w:rPr>
        <w:t xml:space="preserve">Parameter Measurement:</w:t>
      </w:r>
      <w:r>
        <w:t xml:space="preserve"> </w:t>
      </w:r>
      <w:r>
        <w:t xml:space="preserve">Measure in-situ parameters (Temperature, pH, Conductivity, Dissolved Oxygen, Turbidity) at the start, middle, and end of the event.</w:t>
      </w:r>
    </w:p>
    <w:p>
      <w:pPr>
        <w:numPr>
          <w:ilvl w:val="0"/>
          <w:numId w:val="1003"/>
        </w:numPr>
        <w:pStyle w:val="Compact"/>
      </w:pPr>
      <w:r>
        <w:rPr>
          <w:bCs/>
          <w:b/>
        </w:rPr>
        <w:t xml:space="preserve">Collection:</w:t>
      </w:r>
      <w:r>
        <w:t xml:space="preserve"> </w:t>
      </w:r>
      <w:r>
        <w:t xml:space="preserve">Collect samples in pre-labeled, acid-washed bottles for metals and clean polyethylene bottles for nutrients.</w:t>
      </w:r>
    </w:p>
    <w:p>
      <w:pPr>
        <w:numPr>
          <w:ilvl w:val="0"/>
          <w:numId w:val="1003"/>
        </w:numPr>
        <w:pStyle w:val="Compact"/>
      </w:pPr>
      <w:r>
        <w:rPr>
          <w:bCs/>
          <w:b/>
        </w:rPr>
        <w:t xml:space="preserve">Preservation:</w:t>
      </w:r>
      <w:r>
        <w:t xml:space="preserve"> </w:t>
      </w:r>
      <w:r>
        <w:t xml:space="preserve">Immediately preserve samples according to standard methods (e.g., acidification for metals to pH &lt; 2).</w:t>
      </w:r>
    </w:p>
    <w:bookmarkEnd w:id="26"/>
    <w:bookmarkEnd w:id="27"/>
    <w:bookmarkStart w:id="28" w:name="laboratory-analysis"/>
    <w:p>
      <w:pPr>
        <w:pStyle w:val="Heading2"/>
      </w:pPr>
      <w:r>
        <w:t xml:space="preserve">5. Laboratory Analysis</w:t>
      </w:r>
    </w:p>
    <w:p>
      <w:pPr>
        <w:pStyle w:val="FirstParagraph"/>
      </w:pPr>
      <w:r>
        <w:t xml:space="preserve">All samples will be transported to an NATA-accredited laboratory in New South Wales within 24 hours of collection. The Environmental Engineer is responsible for ensuring the chain of custody is maintained throughout transport. Analysis will be conducted using:</w:t>
      </w:r>
    </w:p>
    <w:p>
      <w:pPr>
        <w:numPr>
          <w:ilvl w:val="0"/>
          <w:numId w:val="1004"/>
        </w:numPr>
        <w:pStyle w:val="Compact"/>
      </w:pPr>
      <w:r>
        <w:rPr>
          <w:bCs/>
          <w:b/>
        </w:rPr>
        <w:t xml:space="preserve">Gravimetric Analysis:</w:t>
      </w:r>
      <w:r>
        <w:t xml:space="preserve"> </w:t>
      </w:r>
      <w:r>
        <w:t xml:space="preserve">For Total Suspended Solids (TSS).</w:t>
      </w:r>
    </w:p>
    <w:p>
      <w:pPr>
        <w:numPr>
          <w:ilvl w:val="0"/>
          <w:numId w:val="1004"/>
        </w:numPr>
        <w:pStyle w:val="Compact"/>
      </w:pPr>
      <w:r>
        <w:rPr>
          <w:bCs/>
          <w:b/>
        </w:rPr>
        <w:t xml:space="preserve">Inductively Coupled Plasma Mass Spectrometry (ICP-MS):</w:t>
      </w:r>
      <w:r>
        <w:t xml:space="preserve"> </w:t>
      </w:r>
      <w:r>
        <w:t xml:space="preserve">For heavy metal quantification.</w:t>
      </w:r>
    </w:p>
    <w:p>
      <w:pPr>
        <w:numPr>
          <w:ilvl w:val="0"/>
          <w:numId w:val="1004"/>
        </w:numPr>
        <w:pStyle w:val="Compact"/>
      </w:pPr>
      <w:r>
        <w:rPr>
          <w:bCs/>
          <w:b/>
        </w:rPr>
        <w:t xml:space="preserve">Colorimetric Methods:</w:t>
      </w:r>
      <w:r>
        <w:t xml:space="preserve"> </w:t>
      </w:r>
      <w:r>
        <w:t xml:space="preserve">For Total Phosphorus and Total Nitrogen.</w:t>
      </w:r>
    </w:p>
    <w:bookmarkEnd w:id="28"/>
    <w:bookmarkStart w:id="29" w:name="data-analysis-and-reporting"/>
    <w:p>
      <w:pPr>
        <w:pStyle w:val="Heading2"/>
      </w:pPr>
      <w:r>
        <w:t xml:space="preserve">6. Data Analysis and Reporting</w:t>
      </w:r>
    </w:p>
    <w:p>
      <w:pPr>
        <w:pStyle w:val="FirstParagraph"/>
      </w:pPr>
      <w:r>
        <w:t xml:space="preserve">The Environmental Engineer will compile the data into a comprehensive report. Statistical analysis will be performed to determine mean concentrations, load estimates, and correlations between rainfall intensity and pollutant levels. The report must highlight any exceedances of the</w:t>
      </w:r>
      <w:r>
        <w:t xml:space="preserve"> </w:t>
      </w:r>
      <w:r>
        <w:rPr>
          <w:iCs/>
          <w:i/>
        </w:rPr>
        <w:t xml:space="preserve">Australian and New Zealand Guidelines for Fresh and Marine Water Quality</w:t>
      </w:r>
      <w:r>
        <w:t xml:space="preserve">.</w:t>
      </w:r>
    </w:p>
    <w:p>
      <w:pPr>
        <w:pStyle w:val="BodyText"/>
      </w:pPr>
      <w:r>
        <w:t xml:space="preserve">Specific attention will be paid to the implications for the local ecosystem of Australia Sydney, particularly the health of the Lane Cove River and its tributaries. Recommendations for mitigation strategies, such as the installation of bio-retention systems or sediment traps, will be formulated based on the findings.</w:t>
      </w:r>
    </w:p>
    <w:bookmarkEnd w:id="29"/>
    <w:bookmarkStart w:id="30" w:name="X821d2f34bdaf57637cbbf49b6dc1cefe6766a7d"/>
    <w:p>
      <w:pPr>
        <w:pStyle w:val="Heading2"/>
      </w:pPr>
      <w:r>
        <w:t xml:space="preserve">7. Quality Assurance and Quality Control (QA/QC)</w:t>
      </w:r>
    </w:p>
    <w:p>
      <w:pPr>
        <w:pStyle w:val="FirstParagraph"/>
      </w:pPr>
      <w:r>
        <w:t xml:space="preserve">To ensure the reliability of the data, the following QA/QC measures will be implemented:</w:t>
      </w:r>
    </w:p>
    <w:p>
      <w:pPr>
        <w:numPr>
          <w:ilvl w:val="0"/>
          <w:numId w:val="1005"/>
        </w:numPr>
        <w:pStyle w:val="Compact"/>
      </w:pPr>
      <w:r>
        <w:rPr>
          <w:bCs/>
          <w:b/>
        </w:rPr>
        <w:t xml:space="preserve">Field Blanks:</w:t>
      </w:r>
      <w:r>
        <w:t xml:space="preserve"> </w:t>
      </w:r>
      <w:r>
        <w:t xml:space="preserve">One field blank will be collected per sampling event to check for contamination during sampling.</w:t>
      </w:r>
    </w:p>
    <w:p>
      <w:pPr>
        <w:numPr>
          <w:ilvl w:val="0"/>
          <w:numId w:val="1005"/>
        </w:numPr>
        <w:pStyle w:val="Compact"/>
      </w:pPr>
      <w:r>
        <w:rPr>
          <w:bCs/>
          <w:b/>
        </w:rPr>
        <w:t xml:space="preserve">Duplicates:</w:t>
      </w:r>
      <w:r>
        <w:t xml:space="preserve"> </w:t>
      </w:r>
      <w:r>
        <w:t xml:space="preserve">10% of samples will be collected as field duplicates to assess precision.</w:t>
      </w:r>
    </w:p>
    <w:p>
      <w:pPr>
        <w:numPr>
          <w:ilvl w:val="0"/>
          <w:numId w:val="1005"/>
        </w:numPr>
        <w:pStyle w:val="Compact"/>
      </w:pPr>
      <w:r>
        <w:rPr>
          <w:bCs/>
          <w:b/>
        </w:rPr>
        <w:t xml:space="preserve">Calibration Checks:</w:t>
      </w:r>
      <w:r>
        <w:t xml:space="preserve"> </w:t>
      </w:r>
      <w:r>
        <w:t xml:space="preserve">All instruments must be recalibrated if drift is observed during the experiment.</w:t>
      </w:r>
    </w:p>
    <w:bookmarkEnd w:id="30"/>
    <w:bookmarkStart w:id="31" w:name="conclusion"/>
    <w:p>
      <w:pPr>
        <w:pStyle w:val="Heading2"/>
      </w:pPr>
      <w:r>
        <w:t xml:space="preserve">8. Conclusion</w:t>
      </w:r>
    </w:p>
    <w:p>
      <w:pPr>
        <w:pStyle w:val="FirstParagraph"/>
      </w:pPr>
      <w:r>
        <w:t xml:space="preserve">This Experiment Protocol provides a structured approach for the Environmental Engineer to assess stormwater quality in Australia Sydney. By following these procedures, we ensure that the data collected is accurate, reliable, and useful for making informed decisions regarding environmental management and urban planning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Stormwater Quality Assessment</dc:title>
  <dc:creator/>
  <dc:language>en</dc:language>
  <cp:keywords/>
  <dcterms:created xsi:type="dcterms:W3CDTF">2026-10-10T03:34:00Z</dcterms:created>
  <dcterms:modified xsi:type="dcterms:W3CDTF">2026-10-10T03:34:00Z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