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9" w:name="X5b99d0b3719f966998716eeb56bf662e36d80e1"/>
    <w:p>
      <w:pPr>
        <w:pStyle w:val="Heading1"/>
      </w:pPr>
      <w:r>
        <w:t xml:space="preserve">Experiment Protocol: Urban Water Quality Assessment</w:t>
      </w:r>
    </w:p>
    <w:p>
      <w:pPr>
        <w:pStyle w:val="FirstParagraph"/>
      </w:pPr>
      <w:r>
        <w:rPr>
          <w:bCs/>
          <w:b/>
        </w:rPr>
        <w:t xml:space="preserve">Project Title:</w:t>
      </w:r>
      <w:r>
        <w:t xml:space="preserve"> </w:t>
      </w:r>
      <w:r>
        <w:t xml:space="preserve">Assessment of Microplastic and Heavy Metal Contamination in the Guandu River Basin</w:t>
      </w:r>
    </w:p>
    <w:p>
      <w:pPr>
        <w:pStyle w:val="BodyText"/>
      </w:pPr>
      <w:r>
        <w:rPr>
          <w:bCs/>
          <w:b/>
        </w:rPr>
        <w:t xml:space="preserve">Location:</w:t>
      </w:r>
      <w:r>
        <w:t xml:space="preserve"> </w:t>
      </w:r>
      <w:r>
        <w:t xml:space="preserve">Brazil, Rio de Janeiro State (Guandu River Watershed)</w:t>
      </w:r>
    </w:p>
    <w:p>
      <w:pPr>
        <w:pStyle w:val="BodyText"/>
      </w:pPr>
      <w:r>
        <w:rPr>
          <w:bCs/>
          <w:b/>
        </w:rPr>
        <w:t xml:space="preserve">Lead Professional:</w:t>
      </w:r>
      <w:r>
        <w:t xml:space="preserve"> </w:t>
      </w:r>
      <w:r>
        <w:t xml:space="preserve">Environmental Engineer (Registered with CREA-RJ)</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scientific methodology to be employed by the Environmental Engineer team to evaluate the physicochemical and biological quality of surface water in the Guandu River Basin. The Guandu River is the primary source of drinking water for the metropolitan region of Rio de Janeiro, supplying approximately 95% of the city's population. Given the rapid urbanization and industrial activity in the state of Rio de Janeiro, there is a critical need to monitor emerging contaminants.</w:t>
      </w:r>
    </w:p>
    <w:p>
      <w:pPr>
        <w:pStyle w:val="BodyText"/>
      </w:pPr>
      <w:r>
        <w:t xml:space="preserve">The primary objective of this experiment is to quantify the concentration of microplastics and heavy metals (specifically Lead, Cadmium, and Mercury) in water samples collected from three distinct points along the river: upstream (pristine area), midstream (agricultural/urban interface), and downstream (industrial zone near the city limits).</w:t>
      </w:r>
    </w:p>
    <w:bookmarkEnd w:id="20"/>
    <w:bookmarkStart w:id="21" w:name="regulatory-framework-and-compliance"/>
    <w:p>
      <w:pPr>
        <w:pStyle w:val="Heading2"/>
      </w:pPr>
      <w:r>
        <w:t xml:space="preserve">2. Regulatory Framework and Compliance</w:t>
      </w:r>
    </w:p>
    <w:p>
      <w:pPr>
        <w:pStyle w:val="FirstParagraph"/>
      </w:pPr>
      <w:r>
        <w:t xml:space="preserve">All procedures in this protocol adhere strictly to Brazilian environmental legislation and technical standards. The Environmental Engineer is responsible for ensuring compliance with:</w:t>
      </w:r>
    </w:p>
    <w:p>
      <w:pPr>
        <w:numPr>
          <w:ilvl w:val="0"/>
          <w:numId w:val="1001"/>
        </w:numPr>
        <w:pStyle w:val="Compact"/>
      </w:pPr>
      <w:r>
        <w:rPr>
          <w:bCs/>
          <w:b/>
        </w:rPr>
        <w:t xml:space="preserve">CONAMA Resolution No. 357/2005:</w:t>
      </w:r>
      <w:r>
        <w:t xml:space="preserve"> </w:t>
      </w:r>
      <w:r>
        <w:t xml:space="preserve">Establishes water quality classification and standards for effluent discharge in Brazil.</w:t>
      </w:r>
    </w:p>
    <w:p>
      <w:pPr>
        <w:numPr>
          <w:ilvl w:val="0"/>
          <w:numId w:val="1001"/>
        </w:numPr>
        <w:pStyle w:val="Compact"/>
      </w:pPr>
      <w:r>
        <w:rPr>
          <w:bCs/>
          <w:b/>
        </w:rPr>
        <w:t xml:space="preserve">ABNT NBR Standards:</w:t>
      </w:r>
      <w:r>
        <w:t xml:space="preserve"> </w:t>
      </w:r>
      <w:r>
        <w:t xml:space="preserve">Specific Brazilian standards for water sampling and laboratory analysis (e.g., NBR 9898 for sampling).</w:t>
      </w:r>
    </w:p>
    <w:p>
      <w:pPr>
        <w:numPr>
          <w:ilvl w:val="0"/>
          <w:numId w:val="1001"/>
        </w:numPr>
        <w:pStyle w:val="Compact"/>
      </w:pPr>
      <w:r>
        <w:rPr>
          <w:bCs/>
          <w:b/>
        </w:rPr>
        <w:t xml:space="preserve">State Environmental Agency (INEA):</w:t>
      </w:r>
      <w:r>
        <w:t xml:space="preserve"> </w:t>
      </w:r>
      <w:r>
        <w:t xml:space="preserve">Guidelines specific to the state of Rio de Janeiro regarding environmental licensing and monitoring.</w:t>
      </w:r>
    </w:p>
    <w:bookmarkEnd w:id="21"/>
    <w:bookmarkStart w:id="25" w:name="methodology"/>
    <w:p>
      <w:pPr>
        <w:pStyle w:val="Heading2"/>
      </w:pPr>
      <w:r>
        <w:t xml:space="preserve">3. Methodology</w:t>
      </w:r>
    </w:p>
    <w:bookmarkStart w:id="22" w:name="study-area-and-sampling-points"/>
    <w:p>
      <w:pPr>
        <w:pStyle w:val="Heading3"/>
      </w:pPr>
      <w:r>
        <w:t xml:space="preserve">3.1. Study Area and Sampling Points</w:t>
      </w:r>
    </w:p>
    <w:p>
      <w:pPr>
        <w:pStyle w:val="FirstParagraph"/>
      </w:pPr>
      <w:r>
        <w:t xml:space="preserve">The study area is located in the state of Rio de Janeiro. The sampling points were selected based on hydrological data and land-use maps provided by the Environmental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Point ID</w:t>
            </w:r>
          </w:p>
        </w:tc>
        <w:tc>
          <w:tcPr/>
          <w:p>
            <w:pPr>
              <w:pStyle w:val="Compact"/>
              <w:jc w:val="left"/>
            </w:pPr>
            <w:r>
              <w:t xml:space="preserve">Location Description</w:t>
            </w:r>
          </w:p>
        </w:tc>
        <w:tc>
          <w:tcPr/>
          <w:p>
            <w:pPr>
              <w:pStyle w:val="Compact"/>
              <w:jc w:val="left"/>
            </w:pPr>
            <w:r>
              <w:t xml:space="preserve">Coordinates (Approx)</w:t>
            </w:r>
          </w:p>
        </w:tc>
      </w:tr>
      <w:tr>
        <w:tc>
          <w:tcPr/>
          <w:p>
            <w:pPr>
              <w:pStyle w:val="Compact"/>
              <w:jc w:val="left"/>
            </w:pPr>
            <w:r>
              <w:t xml:space="preserve">P1</w:t>
            </w:r>
          </w:p>
        </w:tc>
        <w:tc>
          <w:tcPr/>
          <w:p>
            <w:pPr>
              <w:pStyle w:val="Compact"/>
              <w:jc w:val="left"/>
            </w:pPr>
            <w:r>
              <w:t xml:space="preserve">Upstream: Serra dos Órgãos National Park vicinity</w:t>
            </w:r>
          </w:p>
        </w:tc>
        <w:tc>
          <w:tcPr/>
          <w:p>
            <w:pPr>
              <w:pStyle w:val="Compact"/>
              <w:jc w:val="left"/>
            </w:pPr>
            <w:r>
              <w:t xml:space="preserve">-22.45, -42.70</w:t>
            </w:r>
          </w:p>
        </w:tc>
      </w:tr>
      <w:tr>
        <w:tc>
          <w:tcPr/>
          <w:p>
            <w:pPr>
              <w:pStyle w:val="Compact"/>
              <w:jc w:val="left"/>
            </w:pPr>
            <w:r>
              <w:t xml:space="preserve">P2</w:t>
            </w:r>
          </w:p>
        </w:tc>
        <w:tc>
          <w:tcPr/>
          <w:p>
            <w:pPr>
              <w:pStyle w:val="Compact"/>
              <w:jc w:val="left"/>
            </w:pPr>
            <w:r>
              <w:t xml:space="preserve">Midstream: Agricultural runoff zone</w:t>
            </w:r>
          </w:p>
        </w:tc>
        <w:tc>
          <w:tcPr/>
          <w:p>
            <w:pPr>
              <w:pStyle w:val="Compact"/>
              <w:jc w:val="left"/>
            </w:pPr>
            <w:r>
              <w:t xml:space="preserve">-22.50, -43.10</w:t>
            </w:r>
          </w:p>
        </w:tc>
      </w:tr>
      <w:tr>
        <w:tc>
          <w:tcPr/>
          <w:p>
            <w:pPr>
              <w:pStyle w:val="Compact"/>
              <w:jc w:val="left"/>
            </w:pPr>
            <w:r>
              <w:t xml:space="preserve">P3</w:t>
            </w:r>
          </w:p>
        </w:tc>
        <w:tc>
          <w:tcPr/>
          <w:p>
            <w:pPr>
              <w:pStyle w:val="Compact"/>
              <w:jc w:val="left"/>
            </w:pPr>
            <w:r>
              <w:t xml:space="preserve">Downstream: Industrial effluent confluence</w:t>
            </w:r>
          </w:p>
        </w:tc>
        <w:tc>
          <w:tcPr/>
          <w:p>
            <w:pPr>
              <w:pStyle w:val="Compact"/>
              <w:jc w:val="left"/>
            </w:pPr>
            <w:r>
              <w:t xml:space="preserve">-22.75, -43.35</w:t>
            </w:r>
          </w:p>
        </w:tc>
      </w:tr>
    </w:tbl>
    <w:bookmarkEnd w:id="22"/>
    <w:bookmarkStart w:id="23" w:name="sampling-procedure"/>
    <w:p>
      <w:pPr>
        <w:pStyle w:val="Heading3"/>
      </w:pPr>
      <w:r>
        <w:t xml:space="preserve">3.2. Sampling Procedure</w:t>
      </w:r>
    </w:p>
    <w:p>
      <w:pPr>
        <w:pStyle w:val="FirstParagraph"/>
      </w:pPr>
      <w:r>
        <w:t xml:space="preserve">The Environmental Engineer will supervise the field team to ensure sample integrity. Sampling will occur during the dry season to minimize dilution effects from rainfall, which is common in the tropical climate of Rio de Janeiro.</w:t>
      </w:r>
    </w:p>
    <w:p>
      <w:pPr>
        <w:numPr>
          <w:ilvl w:val="0"/>
          <w:numId w:val="1002"/>
        </w:numPr>
        <w:pStyle w:val="Compact"/>
      </w:pPr>
      <w:r>
        <w:rPr>
          <w:bCs/>
          <w:b/>
        </w:rPr>
        <w:t xml:space="preserve">Equipment Preparation:</w:t>
      </w:r>
      <w:r>
        <w:t xml:space="preserve"> </w:t>
      </w:r>
      <w:r>
        <w:t xml:space="preserve">All glassware must be acid-washed and rinsed with deionized water to prevent contamination.</w:t>
      </w:r>
    </w:p>
    <w:p>
      <w:pPr>
        <w:numPr>
          <w:ilvl w:val="0"/>
          <w:numId w:val="1002"/>
        </w:numPr>
        <w:pStyle w:val="Compact"/>
      </w:pPr>
      <w:r>
        <w:rPr>
          <w:bCs/>
          <w:b/>
        </w:rPr>
        <w:t xml:space="preserve">Collection:</w:t>
      </w:r>
      <w:r>
        <w:t xml:space="preserve"> </w:t>
      </w:r>
      <w:r>
        <w:t xml:space="preserve">Grab samples will be collected at a depth of 30 cm below the surface, avoiding sediment disturbance.</w:t>
      </w:r>
    </w:p>
    <w:p>
      <w:pPr>
        <w:numPr>
          <w:ilvl w:val="0"/>
          <w:numId w:val="1002"/>
        </w:numPr>
        <w:pStyle w:val="Compact"/>
      </w:pPr>
      <w:r>
        <w:rPr>
          <w:bCs/>
          <w:b/>
        </w:rPr>
        <w:t xml:space="preserve">Volume:</w:t>
      </w:r>
      <w:r>
        <w:t xml:space="preserve"> </w:t>
      </w:r>
      <w:r>
        <w:t xml:space="preserve">5 liters of water will be collected per point for microplastic analysis, and 1 liter for heavy metal analysis.</w:t>
      </w:r>
    </w:p>
    <w:p>
      <w:pPr>
        <w:numPr>
          <w:ilvl w:val="0"/>
          <w:numId w:val="1002"/>
        </w:numPr>
        <w:pStyle w:val="Compact"/>
      </w:pPr>
      <w:r>
        <w:rPr>
          <w:bCs/>
          <w:b/>
        </w:rPr>
        <w:t xml:space="preserve">Preservation:</w:t>
      </w:r>
      <w:r>
        <w:t xml:space="preserve"> </w:t>
      </w:r>
      <w:r>
        <w:t xml:space="preserve">Samples for heavy metals will be acidified with nitric acid (HNO3) to pH &lt; 2 immediately after collection.</w:t>
      </w:r>
    </w:p>
    <w:p>
      <w:pPr>
        <w:numPr>
          <w:ilvl w:val="0"/>
          <w:numId w:val="1002"/>
        </w:numPr>
        <w:pStyle w:val="Compact"/>
      </w:pPr>
      <w:r>
        <w:rPr>
          <w:bCs/>
          <w:b/>
        </w:rPr>
        <w:t xml:space="preserve">Transport:</w:t>
      </w:r>
      <w:r>
        <w:t xml:space="preserve"> </w:t>
      </w:r>
      <w:r>
        <w:t xml:space="preserve">Samples will be kept in coolers at 4°C and transported to the accredited laboratory within 24 hours.</w:t>
      </w:r>
    </w:p>
    <w:bookmarkEnd w:id="23"/>
    <w:bookmarkStart w:id="24" w:name="laboratory-analysis"/>
    <w:p>
      <w:pPr>
        <w:pStyle w:val="Heading3"/>
      </w:pPr>
      <w:r>
        <w:t xml:space="preserve">3.3. Laboratory Analysis</w:t>
      </w:r>
    </w:p>
    <w:p>
      <w:pPr>
        <w:pStyle w:val="FirstParagraph"/>
      </w:pPr>
      <w:r>
        <w:t xml:space="preserve">Analysis will be conducted in a laboratory accredited by INMETRO (National Institute of Metrology, Quality and Technology).</w:t>
      </w:r>
    </w:p>
    <w:p>
      <w:pPr>
        <w:numPr>
          <w:ilvl w:val="0"/>
          <w:numId w:val="1003"/>
        </w:numPr>
        <w:pStyle w:val="Compact"/>
      </w:pPr>
      <w:r>
        <w:rPr>
          <w:bCs/>
          <w:b/>
        </w:rPr>
        <w:t xml:space="preserve">Microplastics:</w:t>
      </w:r>
      <w:r>
        <w:t xml:space="preserve"> </w:t>
      </w:r>
      <w:r>
        <w:t xml:space="preserve">Samples will be filtered through stainless steel sieves (mesh size 335 µm). Particles will be identified using Fourier Transform Infrared Spectroscopy (FTIR).</w:t>
      </w:r>
    </w:p>
    <w:p>
      <w:pPr>
        <w:numPr>
          <w:ilvl w:val="0"/>
          <w:numId w:val="1003"/>
        </w:numPr>
        <w:pStyle w:val="Compact"/>
      </w:pPr>
      <w:r>
        <w:rPr>
          <w:bCs/>
          <w:b/>
        </w:rPr>
        <w:t xml:space="preserve">Heavy Metals:</w:t>
      </w:r>
      <w:r>
        <w:t xml:space="preserve"> </w:t>
      </w:r>
      <w:r>
        <w:t xml:space="preserve">Analysis will be performed using Inductively Coupled Plasma Mass Spectrometry (ICP-MS).</w:t>
      </w:r>
    </w:p>
    <w:bookmarkEnd w:id="24"/>
    <w:bookmarkEnd w:id="25"/>
    <w:bookmarkStart w:id="26" w:name="health-safety-and-environment-hse"/>
    <w:p>
      <w:pPr>
        <w:pStyle w:val="Heading2"/>
      </w:pPr>
      <w:r>
        <w:t xml:space="preserve">4. Health, Safety, and Environment (HSE)</w:t>
      </w:r>
    </w:p>
    <w:p>
      <w:pPr>
        <w:pStyle w:val="FirstParagraph"/>
      </w:pPr>
      <w:r>
        <w:t xml:space="preserve">Given the potential hazards in the field and laboratory, the Environmental Engineer must enforce strict safety protocols.</w:t>
      </w:r>
    </w:p>
    <w:p>
      <w:pPr>
        <w:numPr>
          <w:ilvl w:val="0"/>
          <w:numId w:val="1004"/>
        </w:numPr>
        <w:pStyle w:val="Compact"/>
      </w:pPr>
      <w:r>
        <w:rPr>
          <w:bCs/>
          <w:b/>
        </w:rPr>
        <w:t xml:space="preserve">Personal Protective Equipment (PPE):</w:t>
      </w:r>
      <w:r>
        <w:t xml:space="preserve"> </w:t>
      </w:r>
      <w:r>
        <w:t xml:space="preserve">Field teams must wear life jackets, gloves, safety boots, and protective eyewear.</w:t>
      </w:r>
    </w:p>
    <w:p>
      <w:pPr>
        <w:numPr>
          <w:ilvl w:val="0"/>
          <w:numId w:val="1004"/>
        </w:numPr>
        <w:pStyle w:val="Compact"/>
      </w:pPr>
      <w:r>
        <w:rPr>
          <w:bCs/>
          <w:b/>
        </w:rPr>
        <w:t xml:space="preserve">Biohazards:</w:t>
      </w:r>
      <w:r>
        <w:t xml:space="preserve"> </w:t>
      </w:r>
      <w:r>
        <w:t xml:space="preserve">Due to the risk of leptospirosis and other waterborne diseases in Rio de Janeiro, all personnel must be vaccinated and carry a first-aid kit.</w:t>
      </w:r>
    </w:p>
    <w:p>
      <w:pPr>
        <w:numPr>
          <w:ilvl w:val="0"/>
          <w:numId w:val="1004"/>
        </w:numPr>
        <w:pStyle w:val="Compact"/>
      </w:pPr>
      <w:r>
        <w:rPr>
          <w:bCs/>
          <w:b/>
        </w:rPr>
        <w:t xml:space="preserve">Chemical Safety:</w:t>
      </w:r>
      <w:r>
        <w:t xml:space="preserve"> </w:t>
      </w:r>
      <w:r>
        <w:t xml:space="preserve">Proper handling of acids and solvents in the laboratory is mandatory, following Material Safety Data Sheets (MSDS).</w:t>
      </w:r>
    </w:p>
    <w:bookmarkEnd w:id="26"/>
    <w:bookmarkStart w:id="27" w:name="data-analysis-and-reporting"/>
    <w:p>
      <w:pPr>
        <w:pStyle w:val="Heading2"/>
      </w:pPr>
      <w:r>
        <w:t xml:space="preserve">5. Data Analysis and Reporting</w:t>
      </w:r>
    </w:p>
    <w:p>
      <w:pPr>
        <w:pStyle w:val="FirstParagraph"/>
      </w:pPr>
      <w:r>
        <w:t xml:space="preserve">The Environmental Engineer will compile the data to assess compliance with CONAMA Resolution 357/2005 Class 2 standards (for water supply with simple treatment).</w:t>
      </w:r>
    </w:p>
    <w:p>
      <w:pPr>
        <w:numPr>
          <w:ilvl w:val="0"/>
          <w:numId w:val="1005"/>
        </w:numPr>
        <w:pStyle w:val="Compact"/>
      </w:pPr>
      <w:r>
        <w:rPr>
          <w:bCs/>
          <w:b/>
        </w:rPr>
        <w:t xml:space="preserve">Statistical Analysis:</w:t>
      </w:r>
      <w:r>
        <w:t xml:space="preserve"> </w:t>
      </w:r>
      <w:r>
        <w:t xml:space="preserve">ANOVA tests will be used to determine significant differences between sampling points.</w:t>
      </w:r>
    </w:p>
    <w:p>
      <w:pPr>
        <w:numPr>
          <w:ilvl w:val="0"/>
          <w:numId w:val="1005"/>
        </w:numPr>
        <w:pStyle w:val="Compact"/>
      </w:pPr>
      <w:r>
        <w:rPr>
          <w:bCs/>
          <w:b/>
        </w:rPr>
        <w:t xml:space="preserve">Risk Assessment:</w:t>
      </w:r>
      <w:r>
        <w:t xml:space="preserve"> </w:t>
      </w:r>
      <w:r>
        <w:t xml:space="preserve">A human health risk assessment will be calculated based on the concentration of heavy metals.</w:t>
      </w:r>
    </w:p>
    <w:p>
      <w:pPr>
        <w:numPr>
          <w:ilvl w:val="0"/>
          <w:numId w:val="1005"/>
        </w:numPr>
        <w:pStyle w:val="Compact"/>
      </w:pPr>
      <w:r>
        <w:rPr>
          <w:bCs/>
          <w:b/>
        </w:rPr>
        <w:t xml:space="preserve">Final Report:</w:t>
      </w:r>
      <w:r>
        <w:t xml:space="preserve"> </w:t>
      </w:r>
      <w:r>
        <w:t xml:space="preserve">The findings will be documented in a technical report submitted to the relevant authorities in Rio de Janeiro, including recommendations for remediation if standards are exceeded.</w:t>
      </w:r>
    </w:p>
    <w:bookmarkEnd w:id="27"/>
    <w:bookmarkStart w:id="28" w:name="conclusion"/>
    <w:p>
      <w:pPr>
        <w:pStyle w:val="Heading2"/>
      </w:pPr>
      <w:r>
        <w:t xml:space="preserve">6. Conclusion</w:t>
      </w:r>
    </w:p>
    <w:p>
      <w:pPr>
        <w:pStyle w:val="FirstParagraph"/>
      </w:pPr>
      <w:r>
        <w:t xml:space="preserve">This Experiment Protocol provides a robust framework for assessing water quality in a critical watershed in Brazil. By adhering to these procedures, the Environmental Engineer ensures that the data collected is accurate, reliable, and legally defensible, contributing to the protection of public health and the environment in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2026-10-10T02:28:58Z</dcterms:created>
  <dcterms:modified xsi:type="dcterms:W3CDTF">2026-10-10T02:28:58Z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