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Remediation</w:t>
      </w:r>
      <w:r>
        <w:t xml:space="preserve"> </w:t>
      </w:r>
      <w:r>
        <w:t xml:space="preserve">in</w:t>
      </w:r>
      <w:r>
        <w:t xml:space="preserve"> </w:t>
      </w:r>
      <w:r>
        <w:t xml:space="preserve">Canada</w:t>
      </w:r>
      <w:r>
        <w:t xml:space="preserve"> </w:t>
      </w:r>
      <w:r>
        <w:t xml:space="preserve">Toronto</w:t>
      </w:r>
    </w:p>
    <w:p>
      <w:pPr>
        <w:pStyle w:val="FirstParagraph"/>
      </w:pPr>
      <w:r>
        <w:rPr>
          <w:bCs/>
          <w:b/>
        </w:rPr>
        <w:t xml:space="preserve">Document ID:</w:t>
      </w:r>
      <w:r>
        <w:t xml:space="preserve"> </w:t>
      </w:r>
      <w:r>
        <w:t xml:space="preserve">EP-TOR-2023-045</w:t>
      </w:r>
    </w:p>
    <w:p>
      <w:pPr>
        <w:pStyle w:val="BodyText"/>
      </w:pPr>
      <w:r>
        <w:rPr>
          <w:bCs/>
          <w:b/>
        </w:rPr>
        <w:t xml:space="preserve">Location:</w:t>
      </w:r>
      <w:r>
        <w:t xml:space="preserve"> </w:t>
      </w:r>
      <w:r>
        <w:t xml:space="preserve">Canada Toronto, Ontario</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Implementation</w:t>
      </w:r>
    </w:p>
    <w:bookmarkStart w:id="31" w:name="Xd0e71407588559f6adc77352a229f1b81403021"/>
    <w:p>
      <w:pPr>
        <w:pStyle w:val="Heading1"/>
      </w:pPr>
      <w:r>
        <w:t xml:space="preserve">Experiment Protocol: Evaluation of Biofiltration Systems for Urban Stormwater Management</w:t>
      </w:r>
    </w:p>
    <w:bookmarkStart w:id="20" w:name="introduction-and-objective"/>
    <w:p>
      <w:pPr>
        <w:pStyle w:val="Heading2"/>
      </w:pPr>
      <w:r>
        <w:t xml:space="preserve">1. Introduction and Objective</w:t>
      </w:r>
    </w:p>
    <w:p>
      <w:pPr>
        <w:pStyle w:val="FirstParagraph"/>
      </w:pPr>
      <w:r>
        <w:t xml:space="preserve">This Experiment Protocol is designed for the use of a qualified Environmental Engineer operating within the municipal jurisdiction of Canada Toronto. The primary objective of this study is to evaluate the efficacy of novel biofiltration media in reducing Total Suspended Solids (TSS), heavy metals (specifically Zinc and Copper), and hydrocarbons from urban stormwater runoff.</w:t>
      </w:r>
    </w:p>
    <w:p>
      <w:pPr>
        <w:pStyle w:val="BodyText"/>
      </w:pPr>
      <w:r>
        <w:t xml:space="preserve">Given the rapid urbanization and aging infrastructure in Canada Toronto, managing Combined Sewer Overflows (CSOs) and non-point source pollution is a critical priority. This protocol aligns with the City of Toronto’s Green Infrastructure Strategy and adheres to the regulatory frameworks established by the Ministry of the Environment, Conservation and Parks (MECP) of Ontario.</w:t>
      </w:r>
    </w:p>
    <w:bookmarkEnd w:id="20"/>
    <w:bookmarkStart w:id="21" w:name="scope-and-regulatory-compliance"/>
    <w:p>
      <w:pPr>
        <w:pStyle w:val="Heading2"/>
      </w:pPr>
      <w:r>
        <w:t xml:space="preserve">2. Scope and Regulatory Compliance</w:t>
      </w:r>
    </w:p>
    <w:p>
      <w:pPr>
        <w:pStyle w:val="FirstParagraph"/>
      </w:pPr>
      <w:r>
        <w:t xml:space="preserve">The scope of this experiment is limited to the installation, monitoring, and analysis of three distinct biofiltration units located in a designated test zone within the Humber River Watershed in Canada Toronto. The Environmental Engineer is responsible for ensuring that all activities comply with:</w:t>
      </w:r>
    </w:p>
    <w:p>
      <w:pPr>
        <w:numPr>
          <w:ilvl w:val="0"/>
          <w:numId w:val="1001"/>
        </w:numPr>
        <w:pStyle w:val="Compact"/>
      </w:pPr>
      <w:r>
        <w:t xml:space="preserve">The Ontario Water Resources Act.</w:t>
      </w:r>
    </w:p>
    <w:p>
      <w:pPr>
        <w:numPr>
          <w:ilvl w:val="0"/>
          <w:numId w:val="1001"/>
        </w:numPr>
        <w:pStyle w:val="Compact"/>
      </w:pPr>
      <w:r>
        <w:t xml:space="preserve">The Canadian Environmental Protection Act, 1999 (CEPA).</w:t>
      </w:r>
    </w:p>
    <w:p>
      <w:pPr>
        <w:numPr>
          <w:ilvl w:val="0"/>
          <w:numId w:val="1001"/>
        </w:numPr>
        <w:pStyle w:val="Compact"/>
      </w:pPr>
      <w:r>
        <w:t xml:space="preserve">City of Toronto By-law 549-2009 (Stormwater Management).</w:t>
      </w:r>
    </w:p>
    <w:p>
      <w:pPr>
        <w:numPr>
          <w:ilvl w:val="0"/>
          <w:numId w:val="1001"/>
        </w:numPr>
        <w:pStyle w:val="Compact"/>
      </w:pPr>
      <w:r>
        <w:t xml:space="preserve">Workplace Safety and Insurance Services (WSIB) regulations for field work.</w:t>
      </w:r>
    </w:p>
    <w:bookmarkEnd w:id="21"/>
    <w:bookmarkStart w:id="22" w:name="materials-and-equipment"/>
    <w:p>
      <w:pPr>
        <w:pStyle w:val="Heading2"/>
      </w:pPr>
      <w:r>
        <w:t xml:space="preserve">3. Materials and Equipment</w:t>
      </w:r>
    </w:p>
    <w:p>
      <w:pPr>
        <w:pStyle w:val="FirstParagraph"/>
      </w:pPr>
      <w:r>
        <w:t xml:space="preserve">The Environmental Engineer must procure and verify the following materials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Biofiltration Media A</w:t>
            </w:r>
          </w:p>
        </w:tc>
        <w:tc>
          <w:tcPr/>
          <w:p>
            <w:pPr>
              <w:pStyle w:val="Compact"/>
              <w:jc w:val="left"/>
            </w:pPr>
            <w:r>
              <w:t xml:space="preserve">Activated Carbon blended with compost</w:t>
            </w:r>
          </w:p>
        </w:tc>
        <w:tc>
          <w:tcPr/>
          <w:p>
            <w:pPr>
              <w:pStyle w:val="Compact"/>
              <w:jc w:val="left"/>
            </w:pPr>
            <w:r>
              <w:t xml:space="preserve">500 kg</w:t>
            </w:r>
          </w:p>
        </w:tc>
      </w:tr>
      <w:tr>
        <w:tc>
          <w:tcPr/>
          <w:p>
            <w:pPr>
              <w:pStyle w:val="Compact"/>
              <w:jc w:val="left"/>
            </w:pPr>
            <w:r>
              <w:t xml:space="preserve">Biofiltration Media B</w:t>
            </w:r>
          </w:p>
        </w:tc>
        <w:tc>
          <w:tcPr/>
          <w:p>
            <w:pPr>
              <w:pStyle w:val="Compact"/>
              <w:jc w:val="left"/>
            </w:pPr>
            <w:r>
              <w:t xml:space="preserve">Zeolite-based substrate</w:t>
            </w:r>
          </w:p>
        </w:tc>
        <w:tc>
          <w:tcPr/>
          <w:p>
            <w:pPr>
              <w:pStyle w:val="Compact"/>
              <w:jc w:val="left"/>
            </w:pPr>
            <w:r>
              <w:t xml:space="preserve">500 kg</w:t>
            </w:r>
          </w:p>
        </w:tc>
      </w:tr>
      <w:tr>
        <w:tc>
          <w:tcPr/>
          <w:p>
            <w:pPr>
              <w:pStyle w:val="Compact"/>
              <w:jc w:val="left"/>
            </w:pPr>
            <w:r>
              <w:t xml:space="preserve">Biofiltration Media C</w:t>
            </w:r>
          </w:p>
        </w:tc>
        <w:tc>
          <w:tcPr/>
          <w:p>
            <w:pPr>
              <w:pStyle w:val="Compact"/>
              <w:jc w:val="left"/>
            </w:pPr>
            <w:r>
              <w:t xml:space="preserve">Standard Sand Control (Baseline)</w:t>
            </w:r>
          </w:p>
        </w:tc>
        <w:tc>
          <w:tcPr/>
          <w:p>
            <w:pPr>
              <w:pStyle w:val="Compact"/>
              <w:jc w:val="left"/>
            </w:pPr>
            <w:r>
              <w:t xml:space="preserve">500 kg</w:t>
            </w:r>
          </w:p>
        </w:tc>
      </w:tr>
      <w:tr>
        <w:tc>
          <w:tcPr/>
          <w:p>
            <w:pPr>
              <w:pStyle w:val="Compact"/>
              <w:jc w:val="left"/>
            </w:pPr>
            <w:r>
              <w:t xml:space="preserve">Flow Meters</w:t>
            </w:r>
          </w:p>
        </w:tc>
        <w:tc>
          <w:tcPr/>
          <w:p>
            <w:pPr>
              <w:pStyle w:val="Compact"/>
              <w:jc w:val="left"/>
            </w:pPr>
            <w:r>
              <w:t xml:space="preserve">Ultrasonic, calibrated for low flow</w:t>
            </w:r>
          </w:p>
        </w:tc>
        <w:tc>
          <w:tcPr/>
          <w:p>
            <w:pPr>
              <w:pStyle w:val="Compact"/>
              <w:jc w:val="left"/>
            </w:pPr>
            <w:r>
              <w:t xml:space="preserve">3 units</w:t>
            </w:r>
          </w:p>
        </w:tc>
      </w:tr>
      <w:tr>
        <w:tc>
          <w:tcPr/>
          <w:p>
            <w:pPr>
              <w:pStyle w:val="Compact"/>
              <w:jc w:val="left"/>
            </w:pPr>
            <w:r>
              <w:t xml:space="preserve">Water Sampling Bottles</w:t>
            </w:r>
          </w:p>
        </w:tc>
        <w:tc>
          <w:tcPr/>
          <w:p>
            <w:pPr>
              <w:pStyle w:val="Compact"/>
              <w:jc w:val="left"/>
            </w:pPr>
            <w:r>
              <w:t xml:space="preserve">HDPE, acid-washed (for metals)</w:t>
            </w:r>
          </w:p>
        </w:tc>
        <w:tc>
          <w:tcPr/>
          <w:p>
            <w:pPr>
              <w:pStyle w:val="Compact"/>
              <w:jc w:val="left"/>
            </w:pPr>
            <w:r>
              <w:t xml:space="preserve">100 units</w:t>
            </w:r>
          </w:p>
        </w:tc>
      </w:tr>
      <w:tr>
        <w:tc>
          <w:tcPr/>
          <w:p>
            <w:pPr>
              <w:pStyle w:val="Compact"/>
              <w:jc w:val="left"/>
            </w:pPr>
            <w:r>
              <w:t xml:space="preserve">PPE</w:t>
            </w:r>
          </w:p>
        </w:tc>
        <w:tc>
          <w:tcPr/>
          <w:p>
            <w:pPr>
              <w:pStyle w:val="Compact"/>
              <w:jc w:val="left"/>
            </w:pPr>
            <w:r>
              <w:t xml:space="preserve">High-vis vests, steel-toed boots, nitrile gloves</w:t>
            </w:r>
          </w:p>
        </w:tc>
        <w:tc>
          <w:tcPr/>
          <w:p>
            <w:pPr>
              <w:pStyle w:val="Compact"/>
              <w:jc w:val="left"/>
            </w:pPr>
            <w:r>
              <w:t xml:space="preserve">As required</w:t>
            </w:r>
          </w:p>
        </w:tc>
      </w:tr>
    </w:tbl>
    <w:bookmarkEnd w:id="22"/>
    <w:bookmarkStart w:id="23" w:name="experimental-design"/>
    <w:p>
      <w:pPr>
        <w:pStyle w:val="Heading2"/>
      </w:pPr>
      <w:r>
        <w:t xml:space="preserve">4. Experimental Design</w:t>
      </w:r>
    </w:p>
    <w:p>
      <w:pPr>
        <w:pStyle w:val="FirstParagraph"/>
      </w:pPr>
      <w:r>
        <w:t xml:space="preserve">The experiment will utilize a randomized block design. Three identical biofiltration cells will be constructed in parallel. Each cell will receive an equal volume of stormwater runoff diverted from a nearby parking lot surface in Canada Toronto.</w:t>
      </w:r>
    </w:p>
    <w:p>
      <w:pPr>
        <w:numPr>
          <w:ilvl w:val="0"/>
          <w:numId w:val="1002"/>
        </w:numPr>
        <w:pStyle w:val="Compact"/>
      </w:pPr>
      <w:r>
        <w:rPr>
          <w:bCs/>
          <w:b/>
        </w:rPr>
        <w:t xml:space="preserve">Cell 1:</w:t>
      </w:r>
      <w:r>
        <w:t xml:space="preserve"> </w:t>
      </w:r>
      <w:r>
        <w:t xml:space="preserve">Treated with Media A (Activated Carbon/Compost).</w:t>
      </w:r>
    </w:p>
    <w:p>
      <w:pPr>
        <w:numPr>
          <w:ilvl w:val="0"/>
          <w:numId w:val="1002"/>
        </w:numPr>
        <w:pStyle w:val="Compact"/>
      </w:pPr>
      <w:r>
        <w:rPr>
          <w:bCs/>
          <w:b/>
        </w:rPr>
        <w:t xml:space="preserve">Cell 2:</w:t>
      </w:r>
      <w:r>
        <w:t xml:space="preserve"> </w:t>
      </w:r>
      <w:r>
        <w:t xml:space="preserve">Treated with Media B (Zeolite).</w:t>
      </w:r>
    </w:p>
    <w:p>
      <w:pPr>
        <w:numPr>
          <w:ilvl w:val="0"/>
          <w:numId w:val="1002"/>
        </w:numPr>
        <w:pStyle w:val="Compact"/>
      </w:pPr>
      <w:r>
        <w:rPr>
          <w:bCs/>
          <w:b/>
        </w:rPr>
        <w:t xml:space="preserve">Cell 3:</w:t>
      </w:r>
      <w:r>
        <w:t xml:space="preserve"> </w:t>
      </w:r>
      <w:r>
        <w:t xml:space="preserve">Treated with Media C (Standard Sand).</w:t>
      </w:r>
    </w:p>
    <w:p>
      <w:pPr>
        <w:pStyle w:val="FirstParagraph"/>
      </w:pPr>
      <w:r>
        <w:t xml:space="preserve">The Environmental Engineer must ensure that the hydraulic loading rates are consistent across all cells to maintain experimental validity.</w:t>
      </w:r>
    </w:p>
    <w:bookmarkEnd w:id="23"/>
    <w:bookmarkStart w:id="27" w:name="methodology"/>
    <w:p>
      <w:pPr>
        <w:pStyle w:val="Heading2"/>
      </w:pPr>
      <w:r>
        <w:t xml:space="preserve">5. Methodology</w:t>
      </w:r>
    </w:p>
    <w:bookmarkStart w:id="24" w:name="site-preparation"/>
    <w:p>
      <w:pPr>
        <w:pStyle w:val="Heading3"/>
      </w:pPr>
      <w:r>
        <w:t xml:space="preserve">5.1 Site Preparation</w:t>
      </w:r>
    </w:p>
    <w:p>
      <w:pPr>
        <w:pStyle w:val="FirstParagraph"/>
      </w:pPr>
      <w:r>
        <w:t xml:space="preserve">Before installation, the Environmental Engineer must conduct a geotechnical assessment to ensure the soil stability in the Canada Toronto site is sufficient to support the biofiltration units. Permits must be secured from the City of Toronto Engineering Services. The area must be cleared of debris and leveled.</w:t>
      </w:r>
    </w:p>
    <w:bookmarkEnd w:id="24"/>
    <w:bookmarkStart w:id="25" w:name="installation"/>
    <w:p>
      <w:pPr>
        <w:pStyle w:val="Heading3"/>
      </w:pPr>
      <w:r>
        <w:t xml:space="preserve">5.2 Installation</w:t>
      </w:r>
    </w:p>
    <w:p>
      <w:pPr>
        <w:pStyle w:val="FirstParagraph"/>
      </w:pPr>
      <w:r>
        <w:t xml:space="preserve">Install the underdrain systems and geotextile fabrics according to manufacturer specifications. Place the respective media into each cell, ensuring uniform depth (60 cm) and compaction. Install flow meters at the inlet and outlet of each cell to measure hydraulic retention time.</w:t>
      </w:r>
    </w:p>
    <w:bookmarkEnd w:id="25"/>
    <w:bookmarkStart w:id="26" w:name="sampling-procedure"/>
    <w:p>
      <w:pPr>
        <w:pStyle w:val="Heading3"/>
      </w:pPr>
      <w:r>
        <w:t xml:space="preserve">5.3 Sampling Procedure</w:t>
      </w:r>
    </w:p>
    <w:p>
      <w:pPr>
        <w:pStyle w:val="FirstParagraph"/>
      </w:pPr>
      <w:r>
        <w:t xml:space="preserve">Sampling will occur during precipitation events exceeding 5mm. The Environmental Engineer must collect grab samples at the inlet (influent) and outlet (effluent) of each cell.</w:t>
      </w:r>
    </w:p>
    <w:p>
      <w:pPr>
        <w:numPr>
          <w:ilvl w:val="0"/>
          <w:numId w:val="1003"/>
        </w:numPr>
        <w:pStyle w:val="Compact"/>
      </w:pPr>
      <w:r>
        <w:t xml:space="preserve">Collect samples immediately after the onset of runoff.</w:t>
      </w:r>
    </w:p>
    <w:p>
      <w:pPr>
        <w:numPr>
          <w:ilvl w:val="0"/>
          <w:numId w:val="1003"/>
        </w:numPr>
        <w:pStyle w:val="Compact"/>
      </w:pPr>
      <w:r>
        <w:t xml:space="preserve">Collect samples at peak flow.</w:t>
      </w:r>
    </w:p>
    <w:p>
      <w:pPr>
        <w:numPr>
          <w:ilvl w:val="0"/>
          <w:numId w:val="1003"/>
        </w:numPr>
        <w:pStyle w:val="Compact"/>
      </w:pPr>
      <w:r>
        <w:t xml:space="preserve">Collect samples at the end of the event.</w:t>
      </w:r>
    </w:p>
    <w:p>
      <w:pPr>
        <w:pStyle w:val="FirstParagraph"/>
      </w:pPr>
      <w:r>
        <w:t xml:space="preserve">All samples must be labeled with a unique identifier, date, time, and cell number. Samples for metal analysis must be preserved with nitric acid to a pH less than 2.</w:t>
      </w:r>
    </w:p>
    <w:bookmarkEnd w:id="26"/>
    <w:bookmarkEnd w:id="27"/>
    <w:bookmarkStart w:id="28" w:name="data-analysis"/>
    <w:p>
      <w:pPr>
        <w:pStyle w:val="Heading2"/>
      </w:pPr>
      <w:r>
        <w:t xml:space="preserve">6. Data Analysis</w:t>
      </w:r>
    </w:p>
    <w:p>
      <w:pPr>
        <w:pStyle w:val="FirstParagraph"/>
      </w:pPr>
      <w:r>
        <w:t xml:space="preserve">The Environmental Engineer will analyze the data to determine the removal efficiency of each media type. The removal efficiency (RE) will be calculated using the following formula:</w:t>
      </w:r>
    </w:p>
    <w:p>
      <w:pPr>
        <w:pStyle w:val="BodyText"/>
      </w:pPr>
      <w:r>
        <w:t xml:space="preserve">RE (%) = [(C_in - C_out) / C_in] * 100</w:t>
      </w:r>
    </w:p>
    <w:p>
      <w:pPr>
        <w:pStyle w:val="BodyText"/>
      </w:pPr>
      <w:r>
        <w:t xml:space="preserve">Where C_in is the concentration of the pollutant in the influent and C_out is the concentration in the effluent. Statistical analysis will be performed to determine if the differences in performance between Media A, B, and C are significant.</w:t>
      </w:r>
    </w:p>
    <w:bookmarkEnd w:id="28"/>
    <w:bookmarkStart w:id="29" w:name="health-and-safety"/>
    <w:p>
      <w:pPr>
        <w:pStyle w:val="Heading2"/>
      </w:pPr>
      <w:r>
        <w:t xml:space="preserve">7. Health and Safety</w:t>
      </w:r>
    </w:p>
    <w:p>
      <w:pPr>
        <w:pStyle w:val="FirstParagraph"/>
      </w:pPr>
      <w:r>
        <w:t xml:space="preserve">Safety is paramount. The Environmental Engineer must adhere to the following:</w:t>
      </w:r>
    </w:p>
    <w:p>
      <w:pPr>
        <w:numPr>
          <w:ilvl w:val="0"/>
          <w:numId w:val="1004"/>
        </w:numPr>
        <w:pStyle w:val="Compact"/>
      </w:pPr>
      <w:r>
        <w:t xml:space="preserve">Wear appropriate Personal Protective Equipment (PPE) at all times.</w:t>
      </w:r>
    </w:p>
    <w:p>
      <w:pPr>
        <w:numPr>
          <w:ilvl w:val="0"/>
          <w:numId w:val="1004"/>
        </w:numPr>
        <w:pStyle w:val="Compact"/>
      </w:pPr>
      <w:r>
        <w:t xml:space="preserve">Be aware of traffic hazards if the site is near a roadway in Canada Toronto.</w:t>
      </w:r>
    </w:p>
    <w:p>
      <w:pPr>
        <w:numPr>
          <w:ilvl w:val="0"/>
          <w:numId w:val="1004"/>
        </w:numPr>
        <w:pStyle w:val="Compact"/>
      </w:pPr>
      <w:r>
        <w:t xml:space="preserve">Handle chemical preservatives with care, following the Safety Data Sheets (SDS).</w:t>
      </w:r>
    </w:p>
    <w:p>
      <w:pPr>
        <w:numPr>
          <w:ilvl w:val="0"/>
          <w:numId w:val="1004"/>
        </w:numPr>
        <w:pStyle w:val="Compact"/>
      </w:pPr>
      <w:r>
        <w:t xml:space="preserve">Report any incidents or near-misses immediately to the project supervisor.</w:t>
      </w:r>
    </w:p>
    <w:bookmarkEnd w:id="29"/>
    <w:bookmarkStart w:id="30" w:name="reporting-and-documentation"/>
    <w:p>
      <w:pPr>
        <w:pStyle w:val="Heading2"/>
      </w:pPr>
      <w:r>
        <w:t xml:space="preserve">8. Reporting and Documentation</w:t>
      </w:r>
    </w:p>
    <w:p>
      <w:pPr>
        <w:pStyle w:val="FirstParagraph"/>
      </w:pPr>
      <w:r>
        <w:t xml:space="preserve">A comprehensive report must be submitted upon completion of the experiment. This report should include:</w:t>
      </w:r>
    </w:p>
    <w:p>
      <w:pPr>
        <w:numPr>
          <w:ilvl w:val="0"/>
          <w:numId w:val="1005"/>
        </w:numPr>
        <w:pStyle w:val="Compact"/>
      </w:pPr>
      <w:r>
        <w:t xml:space="preserve">Executive Summary.</w:t>
      </w:r>
    </w:p>
    <w:p>
      <w:pPr>
        <w:numPr>
          <w:ilvl w:val="0"/>
          <w:numId w:val="1005"/>
        </w:numPr>
        <w:pStyle w:val="Compact"/>
      </w:pPr>
      <w:r>
        <w:t xml:space="preserve">Methodology details.</w:t>
      </w:r>
    </w:p>
    <w:p>
      <w:pPr>
        <w:numPr>
          <w:ilvl w:val="0"/>
          <w:numId w:val="1005"/>
        </w:numPr>
        <w:pStyle w:val="Compact"/>
      </w:pPr>
      <w:r>
        <w:t xml:space="preserve">Data tables and graphs showing pollutant removal rates.</w:t>
      </w:r>
    </w:p>
    <w:p>
      <w:pPr>
        <w:numPr>
          <w:ilvl w:val="0"/>
          <w:numId w:val="1005"/>
        </w:numPr>
        <w:pStyle w:val="Compact"/>
      </w:pPr>
      <w:r>
        <w:t xml:space="preserve">Recommendations for the implementation of the most effective media in future green infrastructure projects in Canada Toronto.</w:t>
      </w:r>
    </w:p>
    <w:p>
      <w:pPr>
        <w:pStyle w:val="FirstParagraph"/>
      </w:pPr>
      <w:r>
        <w:t xml:space="preserve">This document serves as the official Experiment Protocol. Any deviations from this protocol must be documented and approved by the lead Environmental Engineer.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Remediation in Canada Toronto</dc:title>
  <dc:creator/>
  <dc:language>en</dc:language>
  <cp:keywords/>
  <dcterms:created xsi:type="dcterms:W3CDTF">2026-10-10T01:48:15Z</dcterms:created>
  <dcterms:modified xsi:type="dcterms:W3CDTF">2026-10-10T01:48:15Z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