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Stormwater</w:t>
      </w:r>
      <w:r>
        <w:t xml:space="preserve"> </w:t>
      </w:r>
      <w:r>
        <w:t xml:space="preserve">Quality</w:t>
      </w:r>
      <w:r>
        <w:t xml:space="preserve"> </w:t>
      </w:r>
      <w:r>
        <w:t xml:space="preserve">Assessment</w:t>
      </w:r>
    </w:p>
    <w:bookmarkStart w:id="20" w:name="Xfabfb30d5d4bd615d1079e7806ceef1c0bf5a60"/>
    <w:p>
      <w:pPr>
        <w:pStyle w:val="Heading1"/>
      </w:pPr>
      <w:r>
        <w:t xml:space="preserve">Experiment Protocol: Urban Stormwater Quality Assessment</w:t>
      </w:r>
    </w:p>
    <w:p>
      <w:pPr>
        <w:pStyle w:val="FirstParagraph"/>
      </w:pPr>
      <w:r>
        <w:rPr>
          <w:bCs/>
          <w:b/>
        </w:rPr>
        <w:t xml:space="preserve">Location:</w:t>
      </w:r>
      <w:r>
        <w:t xml:space="preserve"> </w:t>
      </w:r>
      <w:r>
        <w:t xml:space="preserve">Metro Vancouver, British Columbia, Canada</w:t>
      </w:r>
    </w:p>
    <w:p>
      <w:pPr>
        <w:pStyle w:val="BodyText"/>
      </w:pPr>
      <w:r>
        <w:rPr>
          <w:bCs/>
          <w:b/>
        </w:rPr>
        <w:t xml:space="preserve">Prepared By:</w:t>
      </w:r>
      <w:r>
        <w:t xml:space="preserve"> </w:t>
      </w:r>
      <w:r>
        <w:t xml:space="preserve">Senior Environmental Engineer</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EV-ENG-VAN-2023-001</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assessing the quality of urban stormwater runoff in the Greater Vancouver area. As an Environmental Engineer operating within the unique ecological and regulatory framework of Canada Vancouver, the primary objective is to quantify the concentration of Total Suspended Solids (TSS), heavy metals (specifically copper and zinc), and fecal coliform bacteria in stormwater discharging into local waterways.</w:t>
      </w:r>
    </w:p>
    <w:p>
      <w:pPr>
        <w:pStyle w:val="BodyText"/>
      </w:pPr>
      <w:r>
        <w:t xml:space="preserve">The data collected will inform the design and optimization of Best Management Practices (BMPs) such as bioswales and permeable pavements, ensuring compliance with the</w:t>
      </w:r>
      <w:r>
        <w:t xml:space="preserve"> </w:t>
      </w:r>
      <w:r>
        <w:rPr>
          <w:iCs/>
          <w:i/>
        </w:rPr>
        <w:t xml:space="preserve">British Columbia Environmental Management Act</w:t>
      </w:r>
      <w:r>
        <w:t xml:space="preserve"> </w:t>
      </w:r>
      <w:r>
        <w:t xml:space="preserve">and local municipal bylaws.</w:t>
      </w:r>
    </w:p>
    <w:bookmarkEnd w:id="21"/>
    <w:bookmarkStart w:id="22" w:name="scope-and-site-selection"/>
    <w:p>
      <w:pPr>
        <w:pStyle w:val="Heading2"/>
      </w:pPr>
      <w:r>
        <w:t xml:space="preserve">2. Scope and Site Selection</w:t>
      </w:r>
    </w:p>
    <w:p>
      <w:pPr>
        <w:pStyle w:val="FirstParagraph"/>
      </w:pPr>
      <w:r>
        <w:t xml:space="preserve">The scope of this experiment is limited to three distinct catchment areas within Metro Vancouver, representing high-density residential, commercial, and industrial land uses. The selection of these sites is critical due to the region's high annual precipitation and the proximity of urban runoff to sensitive marine ecosystems like Burrard Inlet.</w:t>
      </w:r>
    </w:p>
    <w:p>
      <w:pPr>
        <w:pStyle w:val="BodyText"/>
      </w:pPr>
      <w:r>
        <w:t xml:space="preserve">Site selection criteria include:</w:t>
      </w:r>
    </w:p>
    <w:p>
      <w:pPr>
        <w:numPr>
          <w:ilvl w:val="0"/>
          <w:numId w:val="1001"/>
        </w:numPr>
        <w:pStyle w:val="Compact"/>
      </w:pPr>
      <w:r>
        <w:t xml:space="preserve">Direct discharge into a monitored waterway.</w:t>
      </w:r>
    </w:p>
    <w:p>
      <w:pPr>
        <w:numPr>
          <w:ilvl w:val="0"/>
          <w:numId w:val="1001"/>
        </w:numPr>
        <w:pStyle w:val="Compact"/>
      </w:pPr>
      <w:r>
        <w:t xml:space="preserve">Accessibility for sampling equipment during rain events.</w:t>
      </w:r>
    </w:p>
    <w:p>
      <w:pPr>
        <w:numPr>
          <w:ilvl w:val="0"/>
          <w:numId w:val="1001"/>
        </w:numPr>
        <w:pStyle w:val="Compact"/>
      </w:pPr>
      <w:r>
        <w:t xml:space="preserve">Representation of typical urban impervious surfaces found in Vancouver.</w:t>
      </w:r>
    </w:p>
    <w:bookmarkEnd w:id="22"/>
    <w:bookmarkStart w:id="23" w:name="regulatory-compliance-and-safety"/>
    <w:p>
      <w:pPr>
        <w:pStyle w:val="Heading2"/>
      </w:pPr>
      <w:r>
        <w:t xml:space="preserve">3. Regulatory Compliance and Safety</w:t>
      </w:r>
    </w:p>
    <w:p>
      <w:pPr>
        <w:pStyle w:val="FirstParagraph"/>
      </w:pPr>
      <w:r>
        <w:t xml:space="preserve">All activities must adhere to the safety standards set by WorkSafeBC and the environmental regulations enforced by the Metro Vancouver Regional District. The Environmental Engineer must ensure that all personnel are trained in:</w:t>
      </w:r>
    </w:p>
    <w:p>
      <w:pPr>
        <w:numPr>
          <w:ilvl w:val="0"/>
          <w:numId w:val="1002"/>
        </w:numPr>
        <w:pStyle w:val="Compact"/>
      </w:pPr>
      <w:r>
        <w:t xml:space="preserve">Proper handling of hazardous materials and biological samples.</w:t>
      </w:r>
    </w:p>
    <w:p>
      <w:pPr>
        <w:numPr>
          <w:ilvl w:val="0"/>
          <w:numId w:val="1002"/>
        </w:numPr>
        <w:pStyle w:val="Compact"/>
      </w:pPr>
      <w:r>
        <w:t xml:space="preserve">Use of Personal Protective Equipment (PPE), including high-visibility vests, waterproof boots, and nitrile gloves.</w:t>
      </w:r>
    </w:p>
    <w:p>
      <w:pPr>
        <w:numPr>
          <w:ilvl w:val="0"/>
          <w:numId w:val="1002"/>
        </w:numPr>
        <w:pStyle w:val="Compact"/>
      </w:pPr>
      <w:r>
        <w:t xml:space="preserve">Emergency response procedures specific to the Vancouver climate, including flash flood risks.</w:t>
      </w:r>
    </w:p>
    <w:p>
      <w:pPr>
        <w:pStyle w:val="FirstParagraph"/>
      </w:pPr>
      <w:r>
        <w:rPr>
          <w:bCs/>
          <w:b/>
        </w:rPr>
        <w:t xml:space="preserve">Note:</w:t>
      </w:r>
      <w:r>
        <w:t xml:space="preserve"> </w:t>
      </w:r>
      <w:r>
        <w:t xml:space="preserve">Permits must be obtained from the relevant local municipality and the Metro Vancouver Department of Watershed Services prior to commencing fieldwork.</w:t>
      </w:r>
    </w:p>
    <w:bookmarkEnd w:id="23"/>
    <w:bookmarkStart w:id="24" w:name="materials-and-equipment"/>
    <w:p>
      <w:pPr>
        <w:pStyle w:val="Heading2"/>
      </w:pPr>
      <w:r>
        <w:t xml:space="preserve">4. Materials and Equipment</w:t>
      </w:r>
    </w:p>
    <w:p>
      <w:pPr>
        <w:pStyle w:val="FirstParagraph"/>
      </w:pPr>
      <w:r>
        <w:t xml:space="preserve">The following equipment is required for this experiment:</w:t>
      </w:r>
    </w:p>
    <w:p>
      <w:pPr>
        <w:numPr>
          <w:ilvl w:val="0"/>
          <w:numId w:val="1003"/>
        </w:numPr>
        <w:pStyle w:val="Compact"/>
      </w:pPr>
      <w:r>
        <w:t xml:space="preserve">Automated stormwater samplers (ISCO or equivalent) capable of flow-proportional sampling.</w:t>
      </w:r>
    </w:p>
    <w:p>
      <w:pPr>
        <w:numPr>
          <w:ilvl w:val="0"/>
          <w:numId w:val="1003"/>
        </w:numPr>
        <w:pStyle w:val="Compact"/>
      </w:pPr>
      <w:r>
        <w:t xml:space="preserve">Pre-cleaned glass bottles for heavy metal analysis.</w:t>
      </w:r>
    </w:p>
    <w:p>
      <w:pPr>
        <w:numPr>
          <w:ilvl w:val="0"/>
          <w:numId w:val="1003"/>
        </w:numPr>
        <w:pStyle w:val="Compact"/>
      </w:pPr>
      <w:r>
        <w:t xml:space="preserve">Preservatives: Hydrochloric acid (HCl) for metals, sodium thiosulfate for chlorine neutralization.</w:t>
      </w:r>
    </w:p>
    <w:p>
      <w:pPr>
        <w:numPr>
          <w:ilvl w:val="0"/>
          <w:numId w:val="1003"/>
        </w:numPr>
        <w:pStyle w:val="Compact"/>
      </w:pPr>
      <w:r>
        <w:t xml:space="preserve">Field data sheets and waterproof pens.</w:t>
      </w:r>
    </w:p>
    <w:p>
      <w:pPr>
        <w:numPr>
          <w:ilvl w:val="0"/>
          <w:numId w:val="1003"/>
        </w:numPr>
        <w:pStyle w:val="Compact"/>
      </w:pPr>
      <w:r>
        <w:t xml:space="preserve">GPS device for precise location logging.</w:t>
      </w:r>
    </w:p>
    <w:p>
      <w:pPr>
        <w:numPr>
          <w:ilvl w:val="0"/>
          <w:numId w:val="1003"/>
        </w:numPr>
        <w:pStyle w:val="Compact"/>
      </w:pPr>
      <w:r>
        <w:t xml:space="preserve">Portable water quality meter for in-situ measurements (pH, temperature, dissolved oxygen, conductivity).</w:t>
      </w:r>
    </w:p>
    <w:bookmarkEnd w:id="24"/>
    <w:bookmarkStart w:id="28" w:name="methodology"/>
    <w:p>
      <w:pPr>
        <w:pStyle w:val="Heading2"/>
      </w:pPr>
      <w:r>
        <w:t xml:space="preserve">5. Methodology</w:t>
      </w:r>
    </w:p>
    <w:bookmarkStart w:id="25" w:name="pre-sampling-preparation"/>
    <w:p>
      <w:pPr>
        <w:pStyle w:val="Heading3"/>
      </w:pPr>
      <w:r>
        <w:t xml:space="preserve">5.1 Pre-Sampling Preparation</w:t>
      </w:r>
    </w:p>
    <w:p>
      <w:pPr>
        <w:pStyle w:val="FirstParagraph"/>
      </w:pPr>
      <w:r>
        <w:t xml:space="preserve">Before deployment, all sampling equipment must be calibrated according to manufacturer specifications. The Environmental Engineer must verify that the automated samplers are programmed to collect samples based on the flow rate of the stormwater, ensuring a representative sample of the runoff event.</w:t>
      </w:r>
    </w:p>
    <w:bookmarkEnd w:id="25"/>
    <w:bookmarkStart w:id="26" w:name="field-sampling-procedure"/>
    <w:p>
      <w:pPr>
        <w:pStyle w:val="Heading3"/>
      </w:pPr>
      <w:r>
        <w:t xml:space="preserve">5.2 Field Sampling Procedure</w:t>
      </w:r>
    </w:p>
    <w:p>
      <w:pPr>
        <w:pStyle w:val="FirstParagraph"/>
      </w:pPr>
      <w:r>
        <w:t xml:space="preserve">Sampling will be conducted during rain events with a minimum rainfall of 5mm. The procedure is as follows:</w:t>
      </w:r>
    </w:p>
    <w:p>
      <w:pPr>
        <w:numPr>
          <w:ilvl w:val="0"/>
          <w:numId w:val="1004"/>
        </w:numPr>
        <w:pStyle w:val="Compact"/>
      </w:pPr>
      <w:r>
        <w:t xml:space="preserve">Deploy the automated sampler at the designated outfall.</w:t>
      </w:r>
    </w:p>
    <w:p>
      <w:pPr>
        <w:numPr>
          <w:ilvl w:val="0"/>
          <w:numId w:val="1004"/>
        </w:numPr>
        <w:pStyle w:val="Compact"/>
      </w:pPr>
      <w:r>
        <w:t xml:space="preserve">Record initial water quality parameters using the portable meter.</w:t>
      </w:r>
    </w:p>
    <w:p>
      <w:pPr>
        <w:numPr>
          <w:ilvl w:val="0"/>
          <w:numId w:val="1004"/>
        </w:numPr>
        <w:pStyle w:val="Compact"/>
      </w:pPr>
      <w:r>
        <w:t xml:space="preserve">Collect composite samples over the duration of the storm event.</w:t>
      </w:r>
    </w:p>
    <w:p>
      <w:pPr>
        <w:numPr>
          <w:ilvl w:val="0"/>
          <w:numId w:val="1004"/>
        </w:numPr>
        <w:pStyle w:val="Compact"/>
      </w:pPr>
      <w:r>
        <w:t xml:space="preserve">Immediately upon collection, preserve samples by adding the appropriate preservatives.</w:t>
      </w:r>
    </w:p>
    <w:p>
      <w:pPr>
        <w:numPr>
          <w:ilvl w:val="0"/>
          <w:numId w:val="1004"/>
        </w:numPr>
        <w:pStyle w:val="Compact"/>
      </w:pPr>
      <w:r>
        <w:t xml:space="preserve">Store samples in a cooler with ice packs to maintain a temperature below 4°C.</w:t>
      </w:r>
    </w:p>
    <w:bookmarkEnd w:id="26"/>
    <w:bookmarkStart w:id="27" w:name="laboratory-analysis"/>
    <w:p>
      <w:pPr>
        <w:pStyle w:val="Heading3"/>
      </w:pPr>
      <w:r>
        <w:t xml:space="preserve">5.3 Laboratory Analysis</w:t>
      </w:r>
    </w:p>
    <w:p>
      <w:pPr>
        <w:pStyle w:val="FirstParagraph"/>
      </w:pPr>
      <w:r>
        <w:t xml:space="preserve">Transport samples to an accredited laboratory within 24 hours. The analysis will include:</w:t>
      </w:r>
    </w:p>
    <w:p>
      <w:pPr>
        <w:numPr>
          <w:ilvl w:val="0"/>
          <w:numId w:val="1005"/>
        </w:numPr>
        <w:pStyle w:val="Compact"/>
      </w:pPr>
      <w:r>
        <w:t xml:space="preserve">TSS: Gravimetric method (Standard Method 2540 D).</w:t>
      </w:r>
    </w:p>
    <w:p>
      <w:pPr>
        <w:numPr>
          <w:ilvl w:val="0"/>
          <w:numId w:val="1005"/>
        </w:numPr>
        <w:pStyle w:val="Compact"/>
      </w:pPr>
      <w:r>
        <w:t xml:space="preserve">Heavy Metals: Inductively Coupled Plasma Mass Spectrometry (ICP-MS).</w:t>
      </w:r>
    </w:p>
    <w:p>
      <w:pPr>
        <w:numPr>
          <w:ilvl w:val="0"/>
          <w:numId w:val="1005"/>
        </w:numPr>
        <w:pStyle w:val="Compact"/>
      </w:pPr>
      <w:r>
        <w:t xml:space="preserve">Fecal Coliform: Membrane filtration method (Standard Method 9222 B).</w:t>
      </w:r>
    </w:p>
    <w:bookmarkEnd w:id="27"/>
    <w:bookmarkEnd w:id="28"/>
    <w:bookmarkStart w:id="29" w:name="data-management-and-reporting"/>
    <w:p>
      <w:pPr>
        <w:pStyle w:val="Heading2"/>
      </w:pPr>
      <w:r>
        <w:t xml:space="preserve">6. Data Management and Reporting</w:t>
      </w:r>
    </w:p>
    <w:p>
      <w:pPr>
        <w:pStyle w:val="FirstParagraph"/>
      </w:pPr>
      <w:r>
        <w:t xml:space="preserve">All data must be recorded in a secure, centralized database. The Environmental Engineer is responsible for ensuring data integrity and traceability. Results will be compared against the</w:t>
      </w:r>
      <w:r>
        <w:t xml:space="preserve"> </w:t>
      </w:r>
      <w:r>
        <w:rPr>
          <w:iCs/>
          <w:i/>
        </w:rPr>
        <w:t xml:space="preserve">Canadian Council of Ministers of the Environment (CCME)</w:t>
      </w:r>
      <w:r>
        <w:t xml:space="preserve"> </w:t>
      </w:r>
      <w:r>
        <w:t xml:space="preserve">Water Quality Guidelines for the Protection of Aquatic Life.</w:t>
      </w:r>
    </w:p>
    <w:p>
      <w:pPr>
        <w:pStyle w:val="BodyText"/>
      </w:pPr>
      <w:r>
        <w:t xml:space="preserve">A comprehensive report will be generated, detailing:</w:t>
      </w:r>
    </w:p>
    <w:p>
      <w:pPr>
        <w:numPr>
          <w:ilvl w:val="0"/>
          <w:numId w:val="1006"/>
        </w:numPr>
        <w:pStyle w:val="Compact"/>
      </w:pPr>
      <w:r>
        <w:t xml:space="preserve">Summary of findings for each catchment area.</w:t>
      </w:r>
    </w:p>
    <w:p>
      <w:pPr>
        <w:numPr>
          <w:ilvl w:val="0"/>
          <w:numId w:val="1006"/>
        </w:numPr>
        <w:pStyle w:val="Compact"/>
      </w:pPr>
      <w:r>
        <w:t xml:space="preserve">Statistical analysis of pollutant concentrations.</w:t>
      </w:r>
    </w:p>
    <w:p>
      <w:pPr>
        <w:numPr>
          <w:ilvl w:val="0"/>
          <w:numId w:val="1006"/>
        </w:numPr>
        <w:pStyle w:val="Compact"/>
      </w:pPr>
      <w:r>
        <w:t xml:space="preserve">Recommendations for BMP implementation tailored to the Vancouver context.</w:t>
      </w:r>
    </w:p>
    <w:bookmarkEnd w:id="29"/>
    <w:bookmarkStart w:id="30" w:name="conclusion"/>
    <w:p>
      <w:pPr>
        <w:pStyle w:val="Heading2"/>
      </w:pPr>
      <w:r>
        <w:t xml:space="preserve">7. Conclusion</w:t>
      </w:r>
    </w:p>
    <w:p>
      <w:pPr>
        <w:pStyle w:val="FirstParagraph"/>
      </w:pPr>
      <w:r>
        <w:t xml:space="preserve">This Experiment Protocol provides a robust framework for assessing urban stormwater quality in Canada Vancouver. By adhering to these procedures, the Environmental Engineer can ensure that the data collected is accurate, reliable, and useful for protecting the region's valuable water resources. The findings will contribute to the ongoing efforts to mitigate urban pollution and promote sustainable development in the Metro Vancouver area.</w:t>
      </w:r>
    </w:p>
    <w:bookmarkEnd w:id="30"/>
    <w:bookmarkStart w:id="31" w:name="signatures"/>
    <w:p>
      <w:pPr>
        <w:pStyle w:val="Heading2"/>
      </w:pPr>
      <w:r>
        <w:t xml:space="preserve">8. Signatures</w:t>
      </w:r>
    </w:p>
    <w:p>
      <w:pPr>
        <w:pStyle w:val="FirstParagraph"/>
      </w:pPr>
      <w:r>
        <w:rPr>
          <w:bCs/>
          <w:b/>
        </w:rPr>
        <w:t xml:space="preserve">Environmental Engineer:</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rPr>
          <w:bCs/>
          <w:b/>
        </w:rPr>
        <w:t xml:space="preserve">Project Manager:</w:t>
      </w:r>
      <w:r>
        <w:t xml:space="preserve"> </w:t>
      </w:r>
      <w:r>
        <w:t xml:space="preserve">_________________________</w:t>
      </w:r>
    </w:p>
    <w:p>
      <w:pPr>
        <w:pStyle w:val="BodyText"/>
      </w:pPr>
      <w:r>
        <w:rPr>
          <w:bCs/>
          <w:b/>
        </w:rPr>
        <w:t xml:space="preserve">Date:</w:t>
      </w:r>
      <w:r>
        <w:t xml:space="preserve"> </w:t>
      </w:r>
      <w:r>
        <w:t xml:space="preserve">_________________________</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Stormwater Quality Assessment</dc:title>
  <dc:creator/>
  <dc:language>en</dc:language>
  <cp:keywords/>
  <dcterms:created xsi:type="dcterms:W3CDTF">2026-10-10T03:34:22Z</dcterms:created>
  <dcterms:modified xsi:type="dcterms:W3CDTF">2026-10-10T03:34:22Z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