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Water</w:t>
      </w:r>
      <w:r>
        <w:t xml:space="preserve"> </w:t>
      </w:r>
      <w:r>
        <w:t xml:space="preserve">Quality</w:t>
      </w:r>
      <w:r>
        <w:t xml:space="preserve"> </w:t>
      </w:r>
      <w:r>
        <w:t xml:space="preserve">Assessment</w:t>
      </w:r>
    </w:p>
    <w:bookmarkStart w:id="30" w:name="X5b99d0b3719f966998716eeb56bf662e36d80e1"/>
    <w:p>
      <w:pPr>
        <w:pStyle w:val="Heading1"/>
      </w:pPr>
      <w:r>
        <w:t xml:space="preserve">Experiment Protocol: Urban Water Quality Assessment</w:t>
      </w:r>
    </w:p>
    <w:p>
      <w:pPr>
        <w:pStyle w:val="FirstParagraph"/>
      </w:pPr>
      <w:r>
        <w:rPr>
          <w:bCs/>
          <w:b/>
        </w:rPr>
        <w:t xml:space="preserve">Project Title:</w:t>
      </w:r>
      <w:r>
        <w:t xml:space="preserve"> </w:t>
      </w:r>
      <w:r>
        <w:t xml:space="preserve">Comprehensive Analysis of Per- and Polyfluoroalkyl Substances (PFAS) in the Pearl River Delta</w:t>
      </w:r>
    </w:p>
    <w:p>
      <w:pPr>
        <w:pStyle w:val="BodyText"/>
      </w:pPr>
      <w:r>
        <w:rPr>
          <w:bCs/>
          <w:b/>
        </w:rPr>
        <w:t xml:space="preserve">Location:</w:t>
      </w:r>
      <w:r>
        <w:t xml:space="preserve"> </w:t>
      </w:r>
      <w:r>
        <w:t xml:space="preserve">China Guangzhou, Pearl River Estuary</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Protocol Version:</w:t>
      </w:r>
      <w:r>
        <w:t xml:space="preserve"> </w:t>
      </w:r>
      <w:r>
        <w:t xml:space="preserve">1.0</w:t>
      </w:r>
    </w:p>
    <w:bookmarkStart w:id="20" w:name="introduction-and-objectives"/>
    <w:p>
      <w:pPr>
        <w:pStyle w:val="Heading2"/>
      </w:pPr>
      <w:r>
        <w:t xml:space="preserve">1. Introduction and Objectives</w:t>
      </w:r>
    </w:p>
    <w:p>
      <w:pPr>
        <w:pStyle w:val="FirstParagraph"/>
      </w:pPr>
      <w:r>
        <w:t xml:space="preserve">This Experiment Protocol outlines the standardized procedures for the sampling, analysis, and reporting of water quality parameters in the Pearl River system within the jurisdiction of China Guangzhou. As an Environmental Engineer operating in this region, the primary objective is to assess the concentration of emerging contaminants, specifically PFAS, alongside traditional parameters such as Chemical Oxygen Demand (COD) and Total Nitrogen (TN).</w:t>
      </w:r>
    </w:p>
    <w:p>
      <w:pPr>
        <w:pStyle w:val="BodyText"/>
      </w:pPr>
      <w:r>
        <w:t xml:space="preserve">China Guangzhou serves as a critical industrial and commercial hub. The rapid urbanization and industrial activity necessitate rigorous monitoring to ensure compliance with the</w:t>
      </w:r>
      <w:r>
        <w:t xml:space="preserve"> </w:t>
      </w:r>
      <w:r>
        <w:rPr>
          <w:iCs/>
          <w:i/>
        </w:rPr>
        <w:t xml:space="preserve">National Surface Water Environmental Quality Standard (GB 3838-2002)</w:t>
      </w:r>
      <w:r>
        <w:t xml:space="preserve">. This protocol is designed to provide actionable data for municipal authorities to mitigate pollution risks and protect public health.</w:t>
      </w:r>
    </w:p>
    <w:bookmarkEnd w:id="20"/>
    <w:bookmarkStart w:id="21" w:name="scope-and-applicability"/>
    <w:p>
      <w:pPr>
        <w:pStyle w:val="Heading2"/>
      </w:pPr>
      <w:r>
        <w:t xml:space="preserve">2. Scope and Applicability</w:t>
      </w:r>
    </w:p>
    <w:p>
      <w:pPr>
        <w:pStyle w:val="FirstParagraph"/>
      </w:pPr>
      <w:r>
        <w:t xml:space="preserve">This protocol applies to all field sampling and laboratory analysis activities conducted by the Environmental Engineer team along the designated transects of the Pearl River in Guangzhou. It covers:</w:t>
      </w:r>
    </w:p>
    <w:p>
      <w:pPr>
        <w:numPr>
          <w:ilvl w:val="0"/>
          <w:numId w:val="1001"/>
        </w:numPr>
        <w:pStyle w:val="Compact"/>
      </w:pPr>
      <w:r>
        <w:t xml:space="preserve">Selection of sampling sites based on hydrological data.</w:t>
      </w:r>
    </w:p>
    <w:p>
      <w:pPr>
        <w:numPr>
          <w:ilvl w:val="0"/>
          <w:numId w:val="1001"/>
        </w:numPr>
        <w:pStyle w:val="Compact"/>
      </w:pPr>
      <w:r>
        <w:t xml:space="preserve">Collection of water samples using sterile techniques.</w:t>
      </w:r>
    </w:p>
    <w:p>
      <w:pPr>
        <w:numPr>
          <w:ilvl w:val="0"/>
          <w:numId w:val="1001"/>
        </w:numPr>
        <w:pStyle w:val="Compact"/>
      </w:pPr>
      <w:r>
        <w:t xml:space="preserve">Preservation and transportation of samples to the accredited laboratory.</w:t>
      </w:r>
    </w:p>
    <w:p>
      <w:pPr>
        <w:numPr>
          <w:ilvl w:val="0"/>
          <w:numId w:val="1001"/>
        </w:numPr>
        <w:pStyle w:val="Compact"/>
      </w:pPr>
      <w:r>
        <w:t xml:space="preserve">Chemical analysis using High-Performance Liquid Chromatography-Tandem Mass Spectrometry (HPLC-MS/MS).</w:t>
      </w:r>
    </w:p>
    <w:bookmarkEnd w:id="21"/>
    <w:bookmarkStart w:id="22" w:name="safety-and-regulatory-compliance"/>
    <w:p>
      <w:pPr>
        <w:pStyle w:val="Heading2"/>
      </w:pPr>
      <w:r>
        <w:t xml:space="preserve">3. Safety and Regulatory Compliance</w:t>
      </w:r>
    </w:p>
    <w:p>
      <w:pPr>
        <w:pStyle w:val="FirstParagraph"/>
      </w:pPr>
      <w:r>
        <w:t xml:space="preserve">Adherence to safety protocols is paramount. The Environmental Engineer must ensure that all personnel wear appropriate Personal Protective Equipment (PPE), including nitrile gloves, safety goggles, and waterproof boots. Field operations must comply with local regulations set by the Guangzhou Ecology and Environment Bureau.</w:t>
      </w:r>
    </w:p>
    <w:p>
      <w:pPr>
        <w:pStyle w:val="BodyText"/>
      </w:pPr>
      <w:r>
        <w:t xml:space="preserve">Warning:</w:t>
      </w:r>
      <w:r>
        <w:t xml:space="preserve"> </w:t>
      </w:r>
      <w:r>
        <w:t xml:space="preserve">Sampling sites may contain hazardous biological agents and chemical runoff. Avoid direct contact with water and immediately report any spills or accidents.</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Sampling Bottles</w:t>
            </w:r>
          </w:p>
        </w:tc>
        <w:tc>
          <w:tcPr/>
          <w:p>
            <w:pPr>
              <w:pStyle w:val="Compact"/>
              <w:jc w:val="left"/>
            </w:pPr>
            <w:r>
              <w:t xml:space="preserve">500 mL Amber Glass, PTFE-lined caps</w:t>
            </w:r>
          </w:p>
        </w:tc>
        <w:tc>
          <w:tcPr/>
          <w:p>
            <w:pPr>
              <w:pStyle w:val="Compact"/>
              <w:jc w:val="left"/>
            </w:pPr>
            <w:r>
              <w:t xml:space="preserve">20</w:t>
            </w:r>
          </w:p>
        </w:tc>
      </w:tr>
      <w:tr>
        <w:tc>
          <w:tcPr/>
          <w:p>
            <w:pPr>
              <w:pStyle w:val="Compact"/>
              <w:jc w:val="left"/>
            </w:pPr>
            <w:r>
              <w:t xml:space="preserve">Portable Multiparameter Meter</w:t>
            </w:r>
          </w:p>
        </w:tc>
        <w:tc>
          <w:tcPr/>
          <w:p>
            <w:pPr>
              <w:pStyle w:val="Compact"/>
              <w:jc w:val="left"/>
            </w:pPr>
            <w:r>
              <w:t xml:space="preserve">Calibrated for pH, DO, Conductivity, Turbidity</w:t>
            </w:r>
          </w:p>
        </w:tc>
        <w:tc>
          <w:tcPr/>
          <w:p>
            <w:pPr>
              <w:pStyle w:val="Compact"/>
              <w:jc w:val="left"/>
            </w:pPr>
            <w:r>
              <w:t xml:space="preserve">2</w:t>
            </w:r>
          </w:p>
        </w:tc>
      </w:tr>
      <w:tr>
        <w:tc>
          <w:tcPr/>
          <w:p>
            <w:pPr>
              <w:pStyle w:val="Compact"/>
              <w:jc w:val="left"/>
            </w:pPr>
            <w:r>
              <w:t xml:space="preserve">Coolers</w:t>
            </w:r>
          </w:p>
        </w:tc>
        <w:tc>
          <w:tcPr/>
          <w:p>
            <w:pPr>
              <w:pStyle w:val="Compact"/>
              <w:jc w:val="left"/>
            </w:pPr>
            <w:r>
              <w:t xml:space="preserve">Insulated with ice packs (maintain 4°C)</w:t>
            </w:r>
          </w:p>
        </w:tc>
        <w:tc>
          <w:tcPr/>
          <w:p>
            <w:pPr>
              <w:pStyle w:val="Compact"/>
              <w:jc w:val="left"/>
            </w:pPr>
            <w:r>
              <w:t xml:space="preserve">2</w:t>
            </w:r>
          </w:p>
        </w:tc>
      </w:tr>
      <w:tr>
        <w:tc>
          <w:tcPr/>
          <w:p>
            <w:pPr>
              <w:pStyle w:val="Compact"/>
              <w:jc w:val="left"/>
            </w:pPr>
            <w:r>
              <w:t xml:space="preserve">GPS Device</w:t>
            </w:r>
          </w:p>
        </w:tc>
        <w:tc>
          <w:tcPr/>
          <w:p>
            <w:pPr>
              <w:pStyle w:val="Compact"/>
              <w:jc w:val="left"/>
            </w:pPr>
            <w:r>
              <w:t xml:space="preserve">High-precision for site logging</w:t>
            </w:r>
          </w:p>
        </w:tc>
        <w:tc>
          <w:tcPr/>
          <w:p>
            <w:pPr>
              <w:pStyle w:val="Compact"/>
              <w:jc w:val="left"/>
            </w:pPr>
            <w:r>
              <w:t xml:space="preserve">1</w:t>
            </w:r>
          </w:p>
        </w:tc>
      </w:tr>
      <w:tr>
        <w:tc>
          <w:tcPr/>
          <w:p>
            <w:pPr>
              <w:pStyle w:val="Compact"/>
              <w:jc w:val="left"/>
            </w:pPr>
            <w:r>
              <w:t xml:space="preserve">Field Logbooks</w:t>
            </w:r>
          </w:p>
        </w:tc>
        <w:tc>
          <w:tcPr/>
          <w:p>
            <w:pPr>
              <w:pStyle w:val="Compact"/>
              <w:jc w:val="left"/>
            </w:pPr>
            <w:r>
              <w:t xml:space="preserve">Waterproof, pre-printed forms</w:t>
            </w:r>
          </w:p>
        </w:tc>
        <w:tc>
          <w:tcPr/>
          <w:p>
            <w:pPr>
              <w:pStyle w:val="Compact"/>
              <w:jc w:val="left"/>
            </w:pPr>
            <w:r>
              <w:t xml:space="preserve">5</w:t>
            </w:r>
          </w:p>
        </w:tc>
      </w:tr>
    </w:tbl>
    <w:bookmarkEnd w:id="23"/>
    <w:bookmarkStart w:id="27" w:name="methodology"/>
    <w:p>
      <w:pPr>
        <w:pStyle w:val="Heading2"/>
      </w:pPr>
      <w:r>
        <w:t xml:space="preserve">5. Methodology</w:t>
      </w:r>
    </w:p>
    <w:bookmarkStart w:id="24" w:name="site-selection"/>
    <w:p>
      <w:pPr>
        <w:pStyle w:val="Heading3"/>
      </w:pPr>
      <w:r>
        <w:t xml:space="preserve">5.1 Site Selection</w:t>
      </w:r>
    </w:p>
    <w:p>
      <w:pPr>
        <w:pStyle w:val="FirstParagraph"/>
      </w:pPr>
      <w:r>
        <w:t xml:space="preserve">The Environmental Engineer will select five (5) strategic sampling points in China Guangzhou:</w:t>
      </w:r>
    </w:p>
    <w:p>
      <w:pPr>
        <w:numPr>
          <w:ilvl w:val="0"/>
          <w:numId w:val="1002"/>
        </w:numPr>
        <w:pStyle w:val="Compact"/>
      </w:pPr>
      <w:r>
        <w:rPr>
          <w:bCs/>
          <w:b/>
        </w:rPr>
        <w:t xml:space="preserve">Upstream Control:</w:t>
      </w:r>
      <w:r>
        <w:t xml:space="preserve"> </w:t>
      </w:r>
      <w:r>
        <w:t xml:space="preserve">Near Zengcheng District (reference site).</w:t>
      </w:r>
    </w:p>
    <w:p>
      <w:pPr>
        <w:numPr>
          <w:ilvl w:val="0"/>
          <w:numId w:val="1002"/>
        </w:numPr>
        <w:pStyle w:val="Compact"/>
      </w:pPr>
      <w:r>
        <w:rPr>
          <w:bCs/>
          <w:b/>
        </w:rPr>
        <w:t xml:space="preserve">Industrial Zone:</w:t>
      </w:r>
      <w:r>
        <w:t xml:space="preserve"> </w:t>
      </w:r>
      <w:r>
        <w:t xml:space="preserve">Downstream of Baiyun District manufacturing areas.</w:t>
      </w:r>
    </w:p>
    <w:p>
      <w:pPr>
        <w:numPr>
          <w:ilvl w:val="0"/>
          <w:numId w:val="1002"/>
        </w:numPr>
        <w:pStyle w:val="Compact"/>
      </w:pPr>
      <w:r>
        <w:rPr>
          <w:bCs/>
          <w:b/>
        </w:rPr>
        <w:t xml:space="preserve">Urban Center:</w:t>
      </w:r>
      <w:r>
        <w:t xml:space="preserve"> </w:t>
      </w:r>
      <w:r>
        <w:t xml:space="preserve">Near Haizhu District wastewater outfalls.</w:t>
      </w:r>
    </w:p>
    <w:p>
      <w:pPr>
        <w:numPr>
          <w:ilvl w:val="0"/>
          <w:numId w:val="1002"/>
        </w:numPr>
        <w:pStyle w:val="Compact"/>
      </w:pPr>
      <w:r>
        <w:rPr>
          <w:bCs/>
          <w:b/>
        </w:rPr>
        <w:t xml:space="preserve">Residential Area:</w:t>
      </w:r>
      <w:r>
        <w:t xml:space="preserve"> </w:t>
      </w:r>
      <w:r>
        <w:t xml:space="preserve">Tianhe District riverbank.</w:t>
      </w:r>
    </w:p>
    <w:p>
      <w:pPr>
        <w:numPr>
          <w:ilvl w:val="0"/>
          <w:numId w:val="1002"/>
        </w:numPr>
        <w:pStyle w:val="Compact"/>
      </w:pPr>
      <w:r>
        <w:rPr>
          <w:bCs/>
          <w:b/>
        </w:rPr>
        <w:t xml:space="preserve">Estuary Mixing Zone:</w:t>
      </w:r>
      <w:r>
        <w:t xml:space="preserve"> </w:t>
      </w:r>
      <w:r>
        <w:t xml:space="preserve">Near the confluence with the Pearl River Estuary.</w:t>
      </w:r>
    </w:p>
    <w:bookmarkEnd w:id="24"/>
    <w:bookmarkStart w:id="25" w:name="sampling-procedure"/>
    <w:p>
      <w:pPr>
        <w:pStyle w:val="Heading3"/>
      </w:pPr>
      <w:r>
        <w:t xml:space="preserve">5.2 Sampling Procedure</w:t>
      </w:r>
    </w:p>
    <w:p>
      <w:pPr>
        <w:pStyle w:val="FirstParagraph"/>
      </w:pPr>
      <w:r>
        <w:t xml:space="preserve">Sampling will be conducted during low-flow conditions to minimize dilution effects. The Environmental Engineer must follow these steps:</w:t>
      </w:r>
    </w:p>
    <w:p>
      <w:pPr>
        <w:numPr>
          <w:ilvl w:val="0"/>
          <w:numId w:val="1003"/>
        </w:numPr>
        <w:pStyle w:val="Compact"/>
      </w:pPr>
      <w:r>
        <w:rPr>
          <w:bCs/>
          <w:b/>
        </w:rPr>
        <w:t xml:space="preserve">Rinsing:</w:t>
      </w:r>
      <w:r>
        <w:t xml:space="preserve"> </w:t>
      </w:r>
      <w:r>
        <w:t xml:space="preserve">Rinse each sampling bottle three times with the site water before collection.</w:t>
      </w:r>
    </w:p>
    <w:p>
      <w:pPr>
        <w:numPr>
          <w:ilvl w:val="0"/>
          <w:numId w:val="1003"/>
        </w:numPr>
        <w:pStyle w:val="Compact"/>
      </w:pPr>
      <w:r>
        <w:rPr>
          <w:bCs/>
          <w:b/>
        </w:rPr>
        <w:t xml:space="preserve">Depth:</w:t>
      </w:r>
      <w:r>
        <w:t xml:space="preserve"> </w:t>
      </w:r>
      <w:r>
        <w:t xml:space="preserve">Collect samples at a depth of 0.5 meters below the surface to avoid floating debris and surface films.</w:t>
      </w:r>
    </w:p>
    <w:p>
      <w:pPr>
        <w:numPr>
          <w:ilvl w:val="0"/>
          <w:numId w:val="1003"/>
        </w:numPr>
        <w:pStyle w:val="Compact"/>
      </w:pPr>
      <w:r>
        <w:rPr>
          <w:bCs/>
          <w:b/>
        </w:rPr>
        <w:t xml:space="preserve">Labeling:</w:t>
      </w:r>
      <w:r>
        <w:t xml:space="preserve"> </w:t>
      </w:r>
      <w:r>
        <w:t xml:space="preserve">Immediately label each bottle with the site ID, date, time, and sampler's initials.</w:t>
      </w:r>
    </w:p>
    <w:p>
      <w:pPr>
        <w:numPr>
          <w:ilvl w:val="0"/>
          <w:numId w:val="1003"/>
        </w:numPr>
        <w:pStyle w:val="Compact"/>
      </w:pPr>
      <w:r>
        <w:rPr>
          <w:bCs/>
          <w:b/>
        </w:rPr>
        <w:t xml:space="preserve">Preservation:</w:t>
      </w:r>
      <w:r>
        <w:t xml:space="preserve"> </w:t>
      </w:r>
      <w:r>
        <w:t xml:space="preserve">Add hydrochloric acid (HCl) to adjust pH &lt; 2 for metal analysis. Keep PFAS samples at 4°C without acidification.</w:t>
      </w:r>
    </w:p>
    <w:bookmarkEnd w:id="25"/>
    <w:bookmarkStart w:id="26" w:name="laboratory-analysis"/>
    <w:p>
      <w:pPr>
        <w:pStyle w:val="Heading3"/>
      </w:pPr>
      <w:r>
        <w:t xml:space="preserve">5.3 Laboratory Analysis</w:t>
      </w:r>
    </w:p>
    <w:p>
      <w:pPr>
        <w:pStyle w:val="FirstParagraph"/>
      </w:pPr>
      <w:r>
        <w:t xml:space="preserve">Upon return to the laboratory, samples will be processed within 24 hours. The Environmental Engineer will oversee the following analytical methods:</w:t>
      </w:r>
    </w:p>
    <w:p>
      <w:pPr>
        <w:numPr>
          <w:ilvl w:val="0"/>
          <w:numId w:val="1004"/>
        </w:numPr>
        <w:pStyle w:val="Compact"/>
      </w:pPr>
      <w:r>
        <w:rPr>
          <w:bCs/>
          <w:b/>
        </w:rPr>
        <w:t xml:space="preserve">PFAS Analysis:</w:t>
      </w:r>
      <w:r>
        <w:t xml:space="preserve"> </w:t>
      </w:r>
      <w:r>
        <w:t xml:space="preserve">Solid-phase extraction (SPE) followed by HPLC-MS/MS detection. Target analytes include PFOA, PFOS, and PFNA.</w:t>
      </w:r>
    </w:p>
    <w:p>
      <w:pPr>
        <w:numPr>
          <w:ilvl w:val="0"/>
          <w:numId w:val="1004"/>
        </w:numPr>
        <w:pStyle w:val="Compact"/>
      </w:pPr>
      <w:r>
        <w:rPr>
          <w:bCs/>
          <w:b/>
        </w:rPr>
        <w:t xml:space="preserve">COD Measurement:</w:t>
      </w:r>
      <w:r>
        <w:t xml:space="preserve"> </w:t>
      </w:r>
      <w:r>
        <w:t xml:space="preserve">Dichromate reflux method (GB 11914-89).</w:t>
      </w:r>
    </w:p>
    <w:p>
      <w:pPr>
        <w:numPr>
          <w:ilvl w:val="0"/>
          <w:numId w:val="1004"/>
        </w:numPr>
        <w:pStyle w:val="Compact"/>
      </w:pPr>
      <w:r>
        <w:rPr>
          <w:bCs/>
          <w:b/>
        </w:rPr>
        <w:t xml:space="preserve">Nutrient Analysis:</w:t>
      </w:r>
      <w:r>
        <w:t xml:space="preserve"> </w:t>
      </w:r>
      <w:r>
        <w:t xml:space="preserve">Spectrophotometric methods for Total Nitrogen and Total Phosphorus.</w:t>
      </w:r>
    </w:p>
    <w:bookmarkEnd w:id="26"/>
    <w:bookmarkEnd w:id="27"/>
    <w:bookmarkStart w:id="28" w:name="data-management-and-quality-assurance"/>
    <w:p>
      <w:pPr>
        <w:pStyle w:val="Heading2"/>
      </w:pPr>
      <w:r>
        <w:t xml:space="preserve">6. Data Management and Quality Assurance</w:t>
      </w:r>
    </w:p>
    <w:p>
      <w:pPr>
        <w:pStyle w:val="FirstParagraph"/>
      </w:pPr>
      <w:r>
        <w:t xml:space="preserve">Data integrity is critical for this Experiment Protocol. The Environmental Engineer must implement the following Quality Assurance/Quality Control (QA/QC) measures:</w:t>
      </w:r>
    </w:p>
    <w:p>
      <w:pPr>
        <w:numPr>
          <w:ilvl w:val="0"/>
          <w:numId w:val="1005"/>
        </w:numPr>
        <w:pStyle w:val="Compact"/>
      </w:pPr>
      <w:r>
        <w:rPr>
          <w:bCs/>
          <w:b/>
        </w:rPr>
        <w:t xml:space="preserve">Blanks:</w:t>
      </w:r>
      <w:r>
        <w:t xml:space="preserve"> </w:t>
      </w:r>
      <w:r>
        <w:t xml:space="preserve">Include field blanks and laboratory blanks to detect contamination.</w:t>
      </w:r>
    </w:p>
    <w:p>
      <w:pPr>
        <w:numPr>
          <w:ilvl w:val="0"/>
          <w:numId w:val="1005"/>
        </w:numPr>
        <w:pStyle w:val="Compact"/>
      </w:pPr>
      <w:r>
        <w:rPr>
          <w:bCs/>
          <w:b/>
        </w:rPr>
        <w:t xml:space="preserve">Duplicates:</w:t>
      </w:r>
      <w:r>
        <w:t xml:space="preserve"> </w:t>
      </w:r>
      <w:r>
        <w:t xml:space="preserve">Collect 10% duplicate samples to assess precision.</w:t>
      </w:r>
    </w:p>
    <w:p>
      <w:pPr>
        <w:numPr>
          <w:ilvl w:val="0"/>
          <w:numId w:val="1005"/>
        </w:numPr>
        <w:pStyle w:val="Compact"/>
      </w:pPr>
      <w:r>
        <w:rPr>
          <w:bCs/>
          <w:b/>
        </w:rPr>
        <w:t xml:space="preserve">Calibration:</w:t>
      </w:r>
      <w:r>
        <w:t xml:space="preserve"> </w:t>
      </w:r>
      <w:r>
        <w:t xml:space="preserve">Verify instrument calibration before each use.</w:t>
      </w:r>
    </w:p>
    <w:p>
      <w:pPr>
        <w:numPr>
          <w:ilvl w:val="0"/>
          <w:numId w:val="1005"/>
        </w:numPr>
        <w:pStyle w:val="Compact"/>
      </w:pPr>
      <w:r>
        <w:rPr>
          <w:bCs/>
          <w:b/>
        </w:rPr>
        <w:t xml:space="preserve">Reporting:</w:t>
      </w:r>
      <w:r>
        <w:t xml:space="preserve"> </w:t>
      </w:r>
      <w:r>
        <w:t xml:space="preserve">All data must be recorded in a centralized database and cross-referenced with national standards.</w:t>
      </w:r>
    </w:p>
    <w:bookmarkEnd w:id="28"/>
    <w:bookmarkStart w:id="29" w:name="conclusion"/>
    <w:p>
      <w:pPr>
        <w:pStyle w:val="Heading2"/>
      </w:pPr>
      <w:r>
        <w:t xml:space="preserve">7. Conclusion</w:t>
      </w:r>
    </w:p>
    <w:p>
      <w:pPr>
        <w:pStyle w:val="FirstParagraph"/>
      </w:pPr>
      <w:r>
        <w:t xml:space="preserve">This Experiment Protocol provides a robust framework for the Environmental Engineer to conduct rigorous water quality assessments in China Guangzhou. By adhering to these procedures, we ensure that the data collected is accurate, reliable, and compliant with national environmental standards. The findings will contribute significantly to the ongoing efforts to improve water quality and sustainability in the Pearl River Delta region.</w:t>
      </w:r>
    </w:p>
    <w:p>
      <w:pPr>
        <w:pStyle w:val="BodyText"/>
      </w:pPr>
      <w:r>
        <w:rPr>
          <w:bCs/>
          <w:b/>
        </w:rPr>
        <w:t xml:space="preserve">Approved By:</w:t>
      </w:r>
    </w:p>
    <w:p>
      <w:pPr>
        <w:pStyle w:val="BodyText"/>
      </w:pPr>
      <w:r>
        <w:t xml:space="preserve">__________________________</w:t>
      </w:r>
      <w:r>
        <w:br/>
      </w:r>
      <w:r>
        <w:t xml:space="preserve">Lead Environmental Engineer</w:t>
      </w:r>
      <w:r>
        <w:br/>
      </w:r>
      <w:r>
        <w:t xml:space="preserve">Guangzhou Environmental Research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Water Quality Assessment</dc:title>
  <dc:creator/>
  <dc:language>en</dc:language>
  <cp:keywords/>
  <dcterms:created xsi:type="dcterms:W3CDTF">2026-10-10T03:32:57Z</dcterms:created>
  <dcterms:modified xsi:type="dcterms:W3CDTF">2026-10-10T03:32:57Z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