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89505ea9c44739e9642bac23e4292e5298bdf95"/>
    <w:p>
      <w:pPr>
        <w:pStyle w:val="Heading1"/>
      </w:pPr>
      <w:r>
        <w:t xml:space="preserve">Experiment Protocol: Urban Surface Water Quality Assessment</w:t>
      </w:r>
    </w:p>
    <w:p>
      <w:pPr>
        <w:pStyle w:val="FirstParagraph"/>
      </w:pPr>
      <w:r>
        <w:rPr>
          <w:bCs/>
          <w:b/>
        </w:rPr>
        <w:t xml:space="preserve">Project Title:</w:t>
      </w:r>
      <w:r>
        <w:t xml:space="preserve"> </w:t>
      </w:r>
      <w:r>
        <w:t xml:space="preserve">Assessment of Heavy Metal Contamination and Microbial Load in the Akaki-Kality River Basin</w:t>
      </w:r>
    </w:p>
    <w:p>
      <w:pPr>
        <w:pStyle w:val="BodyText"/>
      </w:pPr>
      <w:r>
        <w:rPr>
          <w:bCs/>
          <w:b/>
        </w:rPr>
        <w:t xml:space="preserve">Location:</w:t>
      </w:r>
      <w:r>
        <w:t xml:space="preserve"> </w:t>
      </w:r>
      <w:r>
        <w:t xml:space="preserve">Addis Ababa, Ethiopia</w:t>
      </w:r>
    </w:p>
    <w:p>
      <w:pPr>
        <w:pStyle w:val="BodyText"/>
      </w:pPr>
      <w:r>
        <w:rPr>
          <w:bCs/>
          <w:b/>
        </w:rPr>
        <w:t xml:space="preserve">Lead Discipline:</w:t>
      </w:r>
      <w:r>
        <w:t xml:space="preserve"> </w:t>
      </w:r>
      <w:r>
        <w:t xml:space="preserve">Environmental Engineering</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Addis Ababa, the capital city of Ethiopia, is experiencing rapid urbanization and industrialization. This growth has placed significant stress on local water resources, particularly the Akaki-Kality River, which serves as a major drainage channel for the city. The river receives untreated domestic sewage, industrial effluents from tanneries and manufacturing plants, and agricultural runoff.</w:t>
      </w:r>
    </w:p>
    <w:p>
      <w:pPr>
        <w:pStyle w:val="BodyText"/>
      </w:pPr>
      <w:r>
        <w:t xml:space="preserve">This Experiment Protocol is designed for Environmental Engineers tasked with quantifying the extent of pollution in this critical watershed. The primary objective is to establish a baseline of water quality parameters to inform remediation strategies and policy interventions. The protocol adheres to international standards while accounting for local logistical constraints and environmental conditions specific to Ethiopia.</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physicochemical parameters including pH, Dissolved Oxygen (DO), Biochemical Oxygen Demand (BOD), and Chemical Oxygen Demand (COD).</w:t>
      </w:r>
    </w:p>
    <w:p>
      <w:pPr>
        <w:numPr>
          <w:ilvl w:val="0"/>
          <w:numId w:val="1001"/>
        </w:numPr>
        <w:pStyle w:val="Compact"/>
      </w:pPr>
      <w:r>
        <w:t xml:space="preserve">To quantify concentrations of heavy metals, specifically Chromium (Cr), Lead (Pb), and Cadmium (Cd), which are prevalent due to industrial activities in the Kality industrial zone.</w:t>
      </w:r>
    </w:p>
    <w:p>
      <w:pPr>
        <w:numPr>
          <w:ilvl w:val="0"/>
          <w:numId w:val="1001"/>
        </w:numPr>
        <w:pStyle w:val="Compact"/>
      </w:pPr>
      <w:r>
        <w:t xml:space="preserve">To assess microbial contamination levels by measuring Total Coliforms and E. coli counts.</w:t>
      </w:r>
    </w:p>
    <w:p>
      <w:pPr>
        <w:numPr>
          <w:ilvl w:val="0"/>
          <w:numId w:val="1001"/>
        </w:numPr>
        <w:pStyle w:val="Compact"/>
      </w:pPr>
      <w:r>
        <w:t xml:space="preserve">To correlate pollution levels with proximity to discharge points and urban density.</w:t>
      </w:r>
    </w:p>
    <w:bookmarkEnd w:id="22"/>
    <w:bookmarkStart w:id="23" w:name="site-selection-and-sampling-strategy"/>
    <w:p>
      <w:pPr>
        <w:pStyle w:val="Heading2"/>
      </w:pPr>
      <w:r>
        <w:t xml:space="preserve">3. Site Selection and Sampling Strategy</w:t>
      </w:r>
    </w:p>
    <w:p>
      <w:pPr>
        <w:pStyle w:val="FirstParagraph"/>
      </w:pPr>
      <w:r>
        <w:t xml:space="preserve">Sampling will be conducted at five strategic locations along the Akaki-Kality River corridor within Addis Ababa. These sites are selected to represent upstream (reference), mid-stream (mixed urban/industrial), and downstream (highly impacted) conditions.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Site ID</w:t>
            </w:r>
          </w:p>
        </w:tc>
        <w:tc>
          <w:tcPr/>
          <w:p>
            <w:pPr>
              <w:pStyle w:val="Compact"/>
              <w:jc w:val="left"/>
            </w:pPr>
            <w:r>
              <w:t xml:space="preserve">Location Description</w:t>
            </w:r>
          </w:p>
        </w:tc>
        <w:tc>
          <w:tcPr/>
          <w:p>
            <w:pPr>
              <w:pStyle w:val="Compact"/>
              <w:jc w:val="left"/>
            </w:pPr>
            <w:r>
              <w:t xml:space="preserve">Rationale</w:t>
            </w:r>
          </w:p>
        </w:tc>
      </w:tr>
      <w:tr>
        <w:tc>
          <w:tcPr/>
          <w:p>
            <w:pPr>
              <w:pStyle w:val="Compact"/>
              <w:jc w:val="left"/>
            </w:pPr>
            <w:r>
              <w:t xml:space="preserve">S1</w:t>
            </w:r>
          </w:p>
        </w:tc>
        <w:tc>
          <w:tcPr/>
          <w:p>
            <w:pPr>
              <w:pStyle w:val="Compact"/>
              <w:jc w:val="left"/>
            </w:pPr>
            <w:r>
              <w:t xml:space="preserve">Upstream of major urban confluence</w:t>
            </w:r>
          </w:p>
        </w:tc>
        <w:tc>
          <w:tcPr/>
          <w:p>
            <w:pPr>
              <w:pStyle w:val="Compact"/>
              <w:jc w:val="left"/>
            </w:pPr>
            <w:r>
              <w:t xml:space="preserve">Baseline reference point</w:t>
            </w:r>
          </w:p>
        </w:tc>
      </w:tr>
      <w:tr>
        <w:tc>
          <w:tcPr/>
          <w:p>
            <w:pPr>
              <w:pStyle w:val="Compact"/>
              <w:jc w:val="left"/>
            </w:pPr>
            <w:r>
              <w:t xml:space="preserve">S2</w:t>
            </w:r>
          </w:p>
        </w:tc>
        <w:tc>
          <w:tcPr/>
          <w:p>
            <w:pPr>
              <w:pStyle w:val="Compact"/>
              <w:jc w:val="left"/>
            </w:pPr>
            <w:r>
              <w:t xml:space="preserve">Downstream of residential drainage outfalls</w:t>
            </w:r>
          </w:p>
        </w:tc>
        <w:tc>
          <w:tcPr/>
          <w:p>
            <w:pPr>
              <w:pStyle w:val="Compact"/>
              <w:jc w:val="left"/>
            </w:pPr>
            <w:r>
              <w:t xml:space="preserve">Assessment of domestic sewage impact</w:t>
            </w:r>
          </w:p>
        </w:tc>
      </w:tr>
      <w:tr>
        <w:tc>
          <w:tcPr/>
          <w:p>
            <w:pPr>
              <w:pStyle w:val="Compact"/>
              <w:jc w:val="left"/>
            </w:pPr>
            <w:r>
              <w:t xml:space="preserve">S3</w:t>
            </w:r>
          </w:p>
        </w:tc>
        <w:tc>
          <w:tcPr/>
          <w:p>
            <w:pPr>
              <w:pStyle w:val="Compact"/>
              <w:jc w:val="left"/>
            </w:pPr>
            <w:r>
              <w:t xml:space="preserve">Adjacent to Kality Industrial Zone effluent pipe</w:t>
            </w:r>
          </w:p>
        </w:tc>
        <w:tc>
          <w:tcPr/>
          <w:p>
            <w:pPr>
              <w:pStyle w:val="Compact"/>
              <w:jc w:val="left"/>
            </w:pPr>
            <w:r>
              <w:t xml:space="preserve">Direct industrial impact assessment</w:t>
            </w:r>
          </w:p>
        </w:tc>
      </w:tr>
      <w:tr>
        <w:tc>
          <w:tcPr/>
          <w:p>
            <w:pPr>
              <w:pStyle w:val="Compact"/>
              <w:jc w:val="left"/>
            </w:pPr>
            <w:r>
              <w:t xml:space="preserve">S4</w:t>
            </w:r>
          </w:p>
        </w:tc>
        <w:tc>
          <w:tcPr/>
          <w:p>
            <w:pPr>
              <w:pStyle w:val="Compact"/>
              <w:jc w:val="left"/>
            </w:pPr>
            <w:r>
              <w:t xml:space="preserve">Mid-stream mixing zone</w:t>
            </w:r>
          </w:p>
        </w:tc>
        <w:tc>
          <w:tcPr/>
          <w:p>
            <w:pPr>
              <w:pStyle w:val="Compact"/>
              <w:jc w:val="left"/>
            </w:pPr>
            <w:r>
              <w:t xml:space="preserve">Evaluation of pollutant dispersion</w:t>
            </w:r>
          </w:p>
        </w:tc>
      </w:tr>
      <w:tr>
        <w:tc>
          <w:tcPr/>
          <w:p>
            <w:pPr>
              <w:pStyle w:val="Compact"/>
              <w:jc w:val="left"/>
            </w:pPr>
            <w:r>
              <w:t xml:space="preserve">S5</w:t>
            </w:r>
          </w:p>
        </w:tc>
        <w:tc>
          <w:tcPr/>
          <w:p>
            <w:pPr>
              <w:pStyle w:val="Compact"/>
              <w:jc w:val="left"/>
            </w:pPr>
            <w:r>
              <w:t xml:space="preserve">Downstream near agricultural irrigation intakes</w:t>
            </w:r>
          </w:p>
        </w:tc>
        <w:tc>
          <w:tcPr/>
          <w:p>
            <w:pPr>
              <w:pStyle w:val="Compact"/>
              <w:jc w:val="left"/>
            </w:pPr>
            <w:r>
              <w:t xml:space="preserve">Risk assessment for downstream users</w:t>
            </w:r>
          </w:p>
        </w:tc>
      </w:tr>
    </w:tbl>
    <w:bookmarkEnd w:id="23"/>
    <w:bookmarkStart w:id="24" w:name="materials-and-equipment"/>
    <w:p>
      <w:pPr>
        <w:pStyle w:val="Heading2"/>
      </w:pPr>
      <w:r>
        <w:t xml:space="preserve">4. Materials and Equipment</w:t>
      </w:r>
    </w:p>
    <w:p>
      <w:pPr>
        <w:pStyle w:val="FirstParagraph"/>
      </w:pPr>
      <w:r>
        <w:t xml:space="preserve">The Environmental Engineer must ensure the following equipment is calibrated and available prior to field deployment:</w:t>
      </w:r>
    </w:p>
    <w:p>
      <w:pPr>
        <w:numPr>
          <w:ilvl w:val="0"/>
          <w:numId w:val="1002"/>
        </w:numPr>
        <w:pStyle w:val="Compact"/>
      </w:pPr>
      <w:r>
        <w:rPr>
          <w:bCs/>
          <w:b/>
        </w:rPr>
        <w:t xml:space="preserve">Water Sampling Bottles:</w:t>
      </w:r>
      <w:r>
        <w:t xml:space="preserve"> </w:t>
      </w:r>
      <w:r>
        <w:t xml:space="preserve">Sterile glass bottles (for microbiology) and HDPE bottles (for metals and chemistry).</w:t>
      </w:r>
    </w:p>
    <w:p>
      <w:pPr>
        <w:numPr>
          <w:ilvl w:val="0"/>
          <w:numId w:val="1002"/>
        </w:numPr>
        <w:pStyle w:val="Compact"/>
      </w:pPr>
      <w:r>
        <w:rPr>
          <w:bCs/>
          <w:b/>
        </w:rPr>
        <w:t xml:space="preserve">Portable Meters:</w:t>
      </w:r>
      <w:r>
        <w:t xml:space="preserve"> </w:t>
      </w:r>
      <w:r>
        <w:t xml:space="preserve">Multi-parameter probe for pH, DO, Conductivity, and Temperature.</w:t>
      </w:r>
    </w:p>
    <w:p>
      <w:pPr>
        <w:numPr>
          <w:ilvl w:val="0"/>
          <w:numId w:val="1002"/>
        </w:numPr>
        <w:pStyle w:val="Compact"/>
      </w:pPr>
      <w:r>
        <w:rPr>
          <w:bCs/>
          <w:b/>
        </w:rPr>
        <w:t xml:space="preserve">Reagents:</w:t>
      </w:r>
      <w:r>
        <w:t xml:space="preserve"> </w:t>
      </w:r>
      <w:r>
        <w:t xml:space="preserve">Preservatives including Sulfuric Acid (H2SO4) for metal samples and Sodium Thiosulfate for BOD samples.</w:t>
      </w:r>
    </w:p>
    <w:p>
      <w:pPr>
        <w:numPr>
          <w:ilvl w:val="0"/>
          <w:numId w:val="1002"/>
        </w:numPr>
        <w:pStyle w:val="Compact"/>
      </w:pPr>
      <w:r>
        <w:rPr>
          <w:bCs/>
          <w:b/>
        </w:rPr>
        <w:t xml:space="preserve">Field Kit:</w:t>
      </w:r>
      <w:r>
        <w:t xml:space="preserve"> </w:t>
      </w:r>
      <w:r>
        <w:t xml:space="preserve">GPS device, flow meter, sampling pole, and ice chest with ice packs.</w:t>
      </w:r>
    </w:p>
    <w:p>
      <w:pPr>
        <w:numPr>
          <w:ilvl w:val="0"/>
          <w:numId w:val="1002"/>
        </w:numPr>
        <w:pStyle w:val="Compact"/>
      </w:pPr>
      <w:r>
        <w:rPr>
          <w:bCs/>
          <w:b/>
        </w:rPr>
        <w:t xml:space="preserve">Personal Protective Equipment (PPE):</w:t>
      </w:r>
      <w:r>
        <w:t xml:space="preserve"> </w:t>
      </w:r>
      <w:r>
        <w:t xml:space="preserve">Nitrile gloves, safety goggles, waterproof boots, and high-visibility vests.</w:t>
      </w:r>
    </w:p>
    <w:bookmarkEnd w:id="24"/>
    <w:bookmarkStart w:id="27" w:name="methodology"/>
    <w:p>
      <w:pPr>
        <w:pStyle w:val="Heading2"/>
      </w:pPr>
      <w:r>
        <w:t xml:space="preserve">5. Methodology</w:t>
      </w:r>
    </w:p>
    <w:bookmarkStart w:id="25" w:name="field-sampling-procedure"/>
    <w:p>
      <w:pPr>
        <w:pStyle w:val="Heading3"/>
      </w:pPr>
      <w:r>
        <w:t xml:space="preserve">5.1 Field Sampling Procedure</w:t>
      </w:r>
    </w:p>
    <w:p>
      <w:pPr>
        <w:pStyle w:val="FirstParagraph"/>
      </w:pPr>
      <w:r>
        <w:t xml:space="preserve">Sampling will be conducted during the dry season to minimize dilution effects from rainfall, ensuring data reflects baseline pollution loads. At each site, the Environmental Engineer will record GPS coordinates and visual observations (e.g., color, odor, presence of floating debris).</w:t>
      </w:r>
    </w:p>
    <w:p>
      <w:pPr>
        <w:pStyle w:val="BodyText"/>
      </w:pPr>
      <w:r>
        <w:t xml:space="preserve">Water samples will be collected from the mid-depth of the river, approximately 30 cm below the surface, to avoid surface films and bottom sediments. For each parameter, specific preservation protocols must be followed immediately upon collection:</w:t>
      </w:r>
    </w:p>
    <w:p>
      <w:pPr>
        <w:numPr>
          <w:ilvl w:val="0"/>
          <w:numId w:val="1003"/>
        </w:numPr>
        <w:pStyle w:val="Compact"/>
      </w:pPr>
      <w:r>
        <w:rPr>
          <w:bCs/>
          <w:b/>
        </w:rPr>
        <w:t xml:space="preserve">Metals:</w:t>
      </w:r>
      <w:r>
        <w:t xml:space="preserve"> </w:t>
      </w:r>
      <w:r>
        <w:t xml:space="preserve">Acidify to pH &lt; 2 using H2SO4.</w:t>
      </w:r>
    </w:p>
    <w:p>
      <w:pPr>
        <w:numPr>
          <w:ilvl w:val="0"/>
          <w:numId w:val="1003"/>
        </w:numPr>
        <w:pStyle w:val="Compact"/>
      </w:pPr>
      <w:r>
        <w:rPr>
          <w:bCs/>
          <w:b/>
        </w:rPr>
        <w:t xml:space="preserve">Microbiology:</w:t>
      </w:r>
      <w:r>
        <w:t xml:space="preserve"> </w:t>
      </w:r>
      <w:r>
        <w:t xml:space="preserve">Keep samples at 4°C and process within 6 hours.</w:t>
      </w:r>
    </w:p>
    <w:p>
      <w:pPr>
        <w:numPr>
          <w:ilvl w:val="0"/>
          <w:numId w:val="1003"/>
        </w:numPr>
        <w:pStyle w:val="Compact"/>
      </w:pPr>
      <w:r>
        <w:rPr>
          <w:bCs/>
          <w:b/>
        </w:rPr>
        <w:t xml:space="preserve">BOD:</w:t>
      </w:r>
      <w:r>
        <w:t xml:space="preserve"> </w:t>
      </w:r>
      <w:r>
        <w:t xml:space="preserve">Fill bottles completely to avoid air gaps and keep at 4°C.</w:t>
      </w:r>
    </w:p>
    <w:bookmarkEnd w:id="25"/>
    <w:bookmarkStart w:id="26" w:name="laboratory-analysis"/>
    <w:p>
      <w:pPr>
        <w:pStyle w:val="Heading3"/>
      </w:pPr>
      <w:r>
        <w:t xml:space="preserve">5.2 Laboratory Analysis</w:t>
      </w:r>
    </w:p>
    <w:p>
      <w:pPr>
        <w:pStyle w:val="FirstParagraph"/>
      </w:pPr>
      <w:r>
        <w:t xml:space="preserve">Samples will be transported to the accredited laboratory in Addis Ababa. Analysis will follow standard methods:</w:t>
      </w:r>
    </w:p>
    <w:p>
      <w:pPr>
        <w:numPr>
          <w:ilvl w:val="0"/>
          <w:numId w:val="1004"/>
        </w:numPr>
        <w:pStyle w:val="Compact"/>
      </w:pPr>
      <w:r>
        <w:rPr>
          <w:bCs/>
          <w:b/>
        </w:rPr>
        <w:t xml:space="preserve">pH and Conductivity:</w:t>
      </w:r>
      <w:r>
        <w:t xml:space="preserve"> </w:t>
      </w:r>
      <w:r>
        <w:t xml:space="preserve">Measured in situ using calibrated probes.</w:t>
      </w:r>
    </w:p>
    <w:p>
      <w:pPr>
        <w:numPr>
          <w:ilvl w:val="0"/>
          <w:numId w:val="1004"/>
        </w:numPr>
        <w:pStyle w:val="Compact"/>
      </w:pPr>
      <w:r>
        <w:rPr>
          <w:bCs/>
          <w:b/>
        </w:rPr>
        <w:t xml:space="preserve">Heavy Metals:</w:t>
      </w:r>
      <w:r>
        <w:t xml:space="preserve"> </w:t>
      </w:r>
      <w:r>
        <w:t xml:space="preserve">Analyzed using Atomic Absorption Spectroscopy (AAS).</w:t>
      </w:r>
    </w:p>
    <w:p>
      <w:pPr>
        <w:numPr>
          <w:ilvl w:val="0"/>
          <w:numId w:val="1004"/>
        </w:numPr>
        <w:pStyle w:val="Compact"/>
      </w:pPr>
      <w:r>
        <w:rPr>
          <w:bCs/>
          <w:b/>
        </w:rPr>
        <w:t xml:space="preserve">BOD and COD:</w:t>
      </w:r>
      <w:r>
        <w:t xml:space="preserve"> </w:t>
      </w:r>
      <w:r>
        <w:t xml:space="preserve">Determined using the 5-day incubation method and dichromate reflux method, respectively.</w:t>
      </w:r>
    </w:p>
    <w:p>
      <w:pPr>
        <w:numPr>
          <w:ilvl w:val="0"/>
          <w:numId w:val="1004"/>
        </w:numPr>
        <w:pStyle w:val="Compact"/>
      </w:pPr>
      <w:r>
        <w:rPr>
          <w:bCs/>
          <w:b/>
        </w:rPr>
        <w:t xml:space="preserve">Microbiology:</w:t>
      </w:r>
      <w:r>
        <w:t xml:space="preserve"> </w:t>
      </w:r>
      <w:r>
        <w:t xml:space="preserve">Membrane filtration technique for coliform enumeration.</w:t>
      </w:r>
    </w:p>
    <w:bookmarkEnd w:id="26"/>
    <w:bookmarkEnd w:id="27"/>
    <w:bookmarkStart w:id="28" w:name="health-and-safety-protocols"/>
    <w:p>
      <w:pPr>
        <w:pStyle w:val="Heading2"/>
      </w:pPr>
      <w:r>
        <w:t xml:space="preserve">6. Health and Safety Protocols</w:t>
      </w:r>
    </w:p>
    <w:p>
      <w:pPr>
        <w:pStyle w:val="FirstParagraph"/>
      </w:pPr>
      <w:r>
        <w:rPr>
          <w:bCs/>
          <w:b/>
        </w:rPr>
        <w:t xml:space="preserve">Critical Safety Note:</w:t>
      </w:r>
      <w:r>
        <w:t xml:space="preserve"> </w:t>
      </w:r>
      <w:r>
        <w:t xml:space="preserve">The Akaki-Kality River contains hazardous pathogens and toxic chemicals. Strict adherence to safety protocols is mandatory.</w:t>
      </w:r>
    </w:p>
    <w:p>
      <w:pPr>
        <w:numPr>
          <w:ilvl w:val="0"/>
          <w:numId w:val="1005"/>
        </w:numPr>
        <w:pStyle w:val="Compact"/>
      </w:pPr>
      <w:r>
        <w:t xml:space="preserve">No personnel shall enter the water without appropriate PPE.</w:t>
      </w:r>
    </w:p>
    <w:p>
      <w:pPr>
        <w:numPr>
          <w:ilvl w:val="0"/>
          <w:numId w:val="1005"/>
        </w:numPr>
        <w:pStyle w:val="Compact"/>
      </w:pPr>
      <w:r>
        <w:t xml:space="preserve">Hand washing stations must be available at all sampling sites.</w:t>
      </w:r>
    </w:p>
    <w:p>
      <w:pPr>
        <w:numPr>
          <w:ilvl w:val="0"/>
          <w:numId w:val="1005"/>
        </w:numPr>
        <w:pStyle w:val="Compact"/>
      </w:pPr>
      <w:r>
        <w:t xml:space="preserve">In case of chemical spill, neutralize immediately using available spill kits.</w:t>
      </w:r>
    </w:p>
    <w:p>
      <w:pPr>
        <w:numPr>
          <w:ilvl w:val="0"/>
          <w:numId w:val="1005"/>
        </w:numPr>
        <w:pStyle w:val="Compact"/>
      </w:pPr>
      <w:r>
        <w:t xml:space="preserve">First aid kits and emergency contact numbers for local hospitals in Addis Ababa must be accessible.</w:t>
      </w:r>
    </w:p>
    <w:bookmarkEnd w:id="28"/>
    <w:bookmarkStart w:id="29" w:name="data-management-and-reporting"/>
    <w:p>
      <w:pPr>
        <w:pStyle w:val="Heading2"/>
      </w:pPr>
      <w:r>
        <w:t xml:space="preserve">7. Data Management and Reporting</w:t>
      </w:r>
    </w:p>
    <w:p>
      <w:pPr>
        <w:pStyle w:val="FirstParagraph"/>
      </w:pPr>
      <w:r>
        <w:t xml:space="preserve">All data will be recorded in digital field sheets and backed up daily. The Environmental Engineer will compile results into a comprehensive report comparing findings against the Ethiopian Environmental Quality Standards (EEQS) for surface water. The report will include recommendations for wastewater treatment infrastructure improvements and regulatory enforcement.</w:t>
      </w:r>
    </w:p>
    <w:bookmarkEnd w:id="29"/>
    <w:bookmarkStart w:id="30" w:name="approval-and-signatures"/>
    <w:p>
      <w:pPr>
        <w:pStyle w:val="Heading2"/>
      </w:pPr>
      <w:r>
        <w:t xml:space="preserve">8. Approval and Signatures</w:t>
      </w:r>
    </w:p>
    <w:p>
      <w:pPr>
        <w:pStyle w:val="FirstParagraph"/>
      </w:pPr>
      <w:r>
        <w:t xml:space="preserve">This protocol has been reviewed and approved by the project stakeholders.</w:t>
      </w:r>
    </w:p>
    <w:p>
      <w:pPr>
        <w:pStyle w:val="BodyText"/>
      </w:pPr>
      <w:r>
        <w:rPr>
          <w:bCs/>
          <w:b/>
        </w:rPr>
        <w:t xml:space="preserve">Lead Environmental Engineer:</w:t>
      </w:r>
      <w:r>
        <w:t xml:space="preserve"> </w:t>
      </w:r>
      <w:r>
        <w:t xml:space="preserve">__________________________</w:t>
      </w:r>
      <w:r>
        <w:br/>
      </w:r>
      <w:r>
        <w:rPr>
          <w:bCs/>
          <w:b/>
        </w:rPr>
        <w:t xml:space="preserve">Date:</w:t>
      </w:r>
      <w:r>
        <w:t xml:space="preserve"> </w:t>
      </w:r>
      <w:r>
        <w:t xml:space="preserve">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2026-10-10T05:03:20Z</dcterms:created>
  <dcterms:modified xsi:type="dcterms:W3CDTF">2026-10-10T05:03:20Z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