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Urban</w:t>
      </w:r>
      <w:r>
        <w:t xml:space="preserve"> </w:t>
      </w:r>
      <w:r>
        <w:t xml:space="preserve">Air</w:t>
      </w:r>
      <w:r>
        <w:t xml:space="preserve"> </w:t>
      </w:r>
      <w:r>
        <w:t xml:space="preserve">Quality</w:t>
      </w:r>
      <w:r>
        <w:t xml:space="preserve"> </w:t>
      </w:r>
      <w:r>
        <w:t xml:space="preserve">Assessment</w:t>
      </w:r>
      <w:r>
        <w:t xml:space="preserve"> </w:t>
      </w:r>
      <w:r>
        <w:t xml:space="preserve">in</w:t>
      </w:r>
      <w:r>
        <w:t xml:space="preserve"> </w:t>
      </w:r>
      <w:r>
        <w:t xml:space="preserve">Germany</w:t>
      </w:r>
      <w:r>
        <w:t xml:space="preserve"> </w:t>
      </w:r>
      <w:r>
        <w:t xml:space="preserve">Berlin</w:t>
      </w:r>
    </w:p>
    <w:bookmarkStart w:id="20" w:name="Xaf6add4edf0be0e2f9b1469c88717b4b24234e5"/>
    <w:p>
      <w:pPr>
        <w:pStyle w:val="Heading1"/>
      </w:pPr>
      <w:r>
        <w:t xml:space="preserve">Experiment Protocol: Urban Air Quality and Particulate Matter Analysis</w:t>
      </w:r>
    </w:p>
    <w:p>
      <w:pPr>
        <w:pStyle w:val="FirstParagraph"/>
      </w:pPr>
      <w:r>
        <w:rPr>
          <w:bCs/>
          <w:b/>
        </w:rPr>
        <w:t xml:space="preserve">Location:</w:t>
      </w:r>
      <w:r>
        <w:t xml:space="preserve"> </w:t>
      </w:r>
      <w:r>
        <w:t xml:space="preserve">Germany Berlin, Multiple Districts (Mitte, Kreuzberg, Charlottenburg)</w:t>
      </w:r>
    </w:p>
    <w:p>
      <w:pPr>
        <w:pStyle w:val="BodyText"/>
      </w:pPr>
      <w:r>
        <w:rPr>
          <w:bCs/>
          <w:b/>
        </w:rPr>
        <w:t xml:space="preserve">Role:</w:t>
      </w:r>
      <w:r>
        <w:t xml:space="preserve"> </w:t>
      </w:r>
      <w:r>
        <w:t xml:space="preserve">Environmental Engineer</w:t>
      </w:r>
    </w:p>
    <w:p>
      <w:pPr>
        <w:pStyle w:val="BodyText"/>
      </w:pPr>
      <w:r>
        <w:rPr>
          <w:bCs/>
          <w:b/>
        </w:rPr>
        <w:t xml:space="preserve">Date:</w:t>
      </w:r>
      <w:r>
        <w:t xml:space="preserve"> </w:t>
      </w:r>
      <w:r>
        <w:t xml:space="preserve">October 24, 2023</w:t>
      </w:r>
    </w:p>
    <w:p>
      <w:pPr>
        <w:pStyle w:val="BodyText"/>
      </w:pPr>
      <w:r>
        <w:rPr>
          <w:bCs/>
          <w:b/>
        </w:rPr>
        <w:t xml:space="preserve">Protocol ID:</w:t>
      </w:r>
      <w:r>
        <w:t xml:space="preserve"> </w:t>
      </w:r>
      <w:r>
        <w:t xml:space="preserve">BER-ENV-2023-042</w:t>
      </w:r>
    </w:p>
    <w:bookmarkEnd w:id="20"/>
    <w:p>
      <w:pPr>
        <w:pStyle w:val="BodyText"/>
      </w:pPr>
      <w:r>
        <w:t xml:space="preserve">1. Objective</w:t>
      </w:r>
    </w:p>
    <w:p>
      <w:pPr>
        <w:pStyle w:val="BodyText"/>
      </w:pPr>
      <w:r>
        <w:t xml:space="preserve">The primary objective of this experiment protocol is to assess the concentration levels of fine particulate matter (PM2.5 and PM10) and nitrogen dioxide (NO2) in various urban environments within Germany Berlin. As an Environmental Engineer, the goal is to correlate traffic density and industrial activity with air quality metrics to support compliance with the German Federal Immission Control Act (Bundes-Immissionsschutzgesetz - BImSchG) and European Union air quality directives. This study aims to identify micro-climatic pollution hotspots and propose mitigation strategies tailored to the specific urban infrastructure of Berlin.</w:t>
      </w:r>
    </w:p>
    <w:p>
      <w:pPr>
        <w:pStyle w:val="BodyText"/>
      </w:pPr>
      <w:r>
        <w:t xml:space="preserve">2. Scope and Context</w:t>
      </w:r>
    </w:p>
    <w:p>
      <w:pPr>
        <w:pStyle w:val="BodyText"/>
      </w:pPr>
      <w:r>
        <w:t xml:space="preserve">This experiment is conducted within the metropolitan area of Germany Berlin, a city characterized by a mix of historical architecture, dense residential zones, and significant vehicular traffic. The Environmental Engineer will focus on three distinct zones: a high-traffic commercial area in Mitte, a residential zone in Kreuzberg, and a mixed-use area in Charlottenburg. The scope includes real-time monitoring over a period of 14 days, covering both weekdays and weekends to account for traffic variability.</w:t>
      </w:r>
    </w:p>
    <w:p>
      <w:pPr>
        <w:pStyle w:val="BodyText"/>
      </w:pPr>
      <w:r>
        <w:t xml:space="preserve">3. Methodology</w:t>
      </w:r>
    </w:p>
    <w:p>
      <w:pPr>
        <w:pStyle w:val="BodyText"/>
      </w:pPr>
      <w:r>
        <w:t xml:space="preserve">The methodology employed by the Environmental Engineer involves the deployment of calibrated low-cost air quality sensors alongside reference-grade monitoring stations. The sensors will measure PM2.5, PM10, and NO2 levels at a frequency of one reading per minute. Data will be transmitted via IoT protocols to a central server for real-time analysis.</w:t>
      </w:r>
    </w:p>
    <w:p>
      <w:pPr>
        <w:pStyle w:val="BodyText"/>
      </w:pPr>
      <w:r>
        <w:rPr>
          <w:bCs/>
          <w:b/>
        </w:rPr>
        <w:t xml:space="preserve">Sampling Strategy:</w:t>
      </w:r>
    </w:p>
    <w:p>
      <w:pPr>
        <w:numPr>
          <w:ilvl w:val="0"/>
          <w:numId w:val="1001"/>
        </w:numPr>
        <w:pStyle w:val="Compact"/>
      </w:pPr>
      <w:r>
        <w:rPr>
          <w:bCs/>
          <w:b/>
        </w:rPr>
        <w:t xml:space="preserve">Site Selection:</w:t>
      </w:r>
      <w:r>
        <w:t xml:space="preserve"> </w:t>
      </w:r>
      <w:r>
        <w:t xml:space="preserve">Locations are chosen based on proximity to major roads (e.g., Kurfürstendamm, Alexanderplatz) and green spaces (e.g., Tiergarten) to compare urban canyon effects with natural ventilation.</w:t>
      </w:r>
    </w:p>
    <w:p>
      <w:pPr>
        <w:numPr>
          <w:ilvl w:val="0"/>
          <w:numId w:val="1001"/>
        </w:numPr>
        <w:pStyle w:val="Compact"/>
      </w:pPr>
      <w:r>
        <w:rPr>
          <w:bCs/>
          <w:b/>
        </w:rPr>
        <w:t xml:space="preserve">Calibration:</w:t>
      </w:r>
      <w:r>
        <w:t xml:space="preserve"> </w:t>
      </w:r>
      <w:r>
        <w:t xml:space="preserve">All sensors will be calibrated against the official monitoring stations operated by the Berlin Senate Department for Environment, Transport and Climate Protection before deployment.</w:t>
      </w:r>
    </w:p>
    <w:p>
      <w:pPr>
        <w:numPr>
          <w:ilvl w:val="0"/>
          <w:numId w:val="1001"/>
        </w:numPr>
        <w:pStyle w:val="Compact"/>
      </w:pPr>
      <w:r>
        <w:rPr>
          <w:bCs/>
          <w:b/>
        </w:rPr>
        <w:t xml:space="preserve">Weather Data Integration:</w:t>
      </w:r>
      <w:r>
        <w:t xml:space="preserve"> </w:t>
      </w:r>
      <w:r>
        <w:t xml:space="preserve">Meteorological data (temperature, humidity, wind speed) will be collected concurrently to adjust for environmental variables affecting pollutant dispersion.</w:t>
      </w:r>
    </w:p>
    <w:p>
      <w:pPr>
        <w:pStyle w:val="FirstParagraph"/>
      </w:pPr>
      <w:r>
        <w:t xml:space="preserve">4. Equipment and Materials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Air Quality Sensor Node</w:t>
            </w:r>
          </w:p>
        </w:tc>
        <w:tc>
          <w:tcPr/>
          <w:p>
            <w:pPr>
              <w:pStyle w:val="Compact"/>
              <w:jc w:val="left"/>
            </w:pPr>
            <w:r>
              <w:t xml:space="preserve">PM2.5/PM10/NO2 capable, IoT-enabled</w:t>
            </w:r>
          </w:p>
        </w:tc>
        <w:tc>
          <w:tcPr/>
          <w:p>
            <w:pPr>
              <w:pStyle w:val="Compact"/>
              <w:jc w:val="left"/>
            </w:pPr>
            <w:r>
              <w:t xml:space="preserve">15</w:t>
            </w:r>
          </w:p>
        </w:tc>
      </w:tr>
      <w:tr>
        <w:tc>
          <w:tcPr/>
          <w:p>
            <w:pPr>
              <w:pStyle w:val="Compact"/>
              <w:jc w:val="left"/>
            </w:pPr>
            <w:r>
              <w:t xml:space="preserve">Reference Monitor</w:t>
            </w:r>
          </w:p>
        </w:tc>
        <w:tc>
          <w:tcPr/>
          <w:p>
            <w:pPr>
              <w:pStyle w:val="Compact"/>
              <w:jc w:val="left"/>
            </w:pPr>
            <w:r>
              <w:t xml:space="preserve">BImSchG compliant, gravimetric analysis</w:t>
            </w:r>
          </w:p>
        </w:tc>
        <w:tc>
          <w:tcPr/>
          <w:p>
            <w:pPr>
              <w:pStyle w:val="Compact"/>
              <w:jc w:val="left"/>
            </w:pPr>
            <w:r>
              <w:t xml:space="preserve">3</w:t>
            </w:r>
          </w:p>
        </w:tc>
      </w:tr>
      <w:tr>
        <w:tc>
          <w:tcPr/>
          <w:p>
            <w:pPr>
              <w:pStyle w:val="Compact"/>
              <w:jc w:val="left"/>
            </w:pPr>
            <w:r>
              <w:t xml:space="preserve">Weather Station</w:t>
            </w:r>
          </w:p>
        </w:tc>
        <w:tc>
          <w:tcPr/>
          <w:p>
            <w:pPr>
              <w:pStyle w:val="Compact"/>
              <w:jc w:val="left"/>
            </w:pPr>
            <w:r>
              <w:t xml:space="preserve">Temp, Humidity, Wind Speed/Direction</w:t>
            </w:r>
          </w:p>
        </w:tc>
        <w:tc>
          <w:tcPr/>
          <w:p>
            <w:pPr>
              <w:pStyle w:val="Compact"/>
              <w:jc w:val="left"/>
            </w:pPr>
            <w:r>
              <w:t xml:space="preserve">5</w:t>
            </w:r>
          </w:p>
        </w:tc>
      </w:tr>
      <w:tr>
        <w:tc>
          <w:tcPr/>
          <w:p>
            <w:pPr>
              <w:pStyle w:val="Compact"/>
              <w:jc w:val="left"/>
            </w:pPr>
            <w:r>
              <w:t xml:space="preserve">Data Logger</w:t>
            </w:r>
          </w:p>
        </w:tc>
        <w:tc>
          <w:tcPr/>
          <w:p>
            <w:pPr>
              <w:pStyle w:val="Compact"/>
              <w:jc w:val="left"/>
            </w:pPr>
            <w:r>
              <w:t xml:space="preserve">High-resolution, cloud-synced</w:t>
            </w:r>
          </w:p>
        </w:tc>
        <w:tc>
          <w:tcPr/>
          <w:p>
            <w:pPr>
              <w:pStyle w:val="Compact"/>
              <w:jc w:val="left"/>
            </w:pPr>
            <w:r>
              <w:t xml:space="preserve">15</w:t>
            </w:r>
          </w:p>
        </w:tc>
      </w:tr>
      <w:tr>
        <w:tc>
          <w:tcPr/>
          <w:p>
            <w:pPr>
              <w:pStyle w:val="Compact"/>
              <w:jc w:val="left"/>
            </w:pPr>
            <w:r>
              <w:t xml:space="preserve">Mounting Hardware</w:t>
            </w:r>
          </w:p>
        </w:tc>
        <w:tc>
          <w:tcPr/>
          <w:p>
            <w:pPr>
              <w:pStyle w:val="Compact"/>
              <w:jc w:val="left"/>
            </w:pPr>
            <w:r>
              <w:t xml:space="preserve">Weather-resistant poles and brackets</w:t>
            </w:r>
          </w:p>
        </w:tc>
        <w:tc>
          <w:tcPr/>
          <w:p>
            <w:pPr>
              <w:pStyle w:val="Compact"/>
              <w:jc w:val="left"/>
            </w:pPr>
            <w:r>
              <w:t xml:space="preserve">15 sets</w:t>
            </w:r>
          </w:p>
        </w:tc>
      </w:tr>
    </w:tbl>
    <w:p>
      <w:pPr>
        <w:pStyle w:val="BodyText"/>
      </w:pPr>
      <w:r>
        <w:t xml:space="preserve">5. Procedure</w:t>
      </w:r>
    </w:p>
    <w:p>
      <w:pPr>
        <w:pStyle w:val="BodyText"/>
      </w:pPr>
      <w:r>
        <w:rPr>
          <w:bCs/>
          <w:b/>
        </w:rPr>
        <w:t xml:space="preserve">Phase 1: Preparation (Days 1-3)</w:t>
      </w:r>
    </w:p>
    <w:p>
      <w:pPr>
        <w:pStyle w:val="BodyText"/>
      </w:pPr>
      <w:r>
        <w:t xml:space="preserve">The Environmental Engineer will conduct site surveys in Germany Berlin to identify optimal sensor locations, ensuring they are accessible for maintenance and representative of the local airshed. Permits will be secured from local authorities if necessary. Sensors will be calibrated in the laboratory.</w:t>
      </w:r>
    </w:p>
    <w:p>
      <w:pPr>
        <w:pStyle w:val="BodyText"/>
      </w:pPr>
      <w:r>
        <w:rPr>
          <w:bCs/>
          <w:b/>
        </w:rPr>
        <w:t xml:space="preserve">Phase 2: Deployment (Days 4-17)</w:t>
      </w:r>
    </w:p>
    <w:p>
      <w:pPr>
        <w:pStyle w:val="BodyText"/>
      </w:pPr>
      <w:r>
        <w:t xml:space="preserve">Sensors will be installed at the selected sites. The Environmental Engineer will verify data transmission and perform initial checks to ensure all devices are functioning correctly. Continuous monitoring will commence, with daily data backups.</w:t>
      </w:r>
    </w:p>
    <w:p>
      <w:pPr>
        <w:pStyle w:val="BodyText"/>
      </w:pPr>
      <w:r>
        <w:rPr>
          <w:bCs/>
          <w:b/>
        </w:rPr>
        <w:t xml:space="preserve">Phase 3: Data Collection and Monitoring (Days 4-17)</w:t>
      </w:r>
    </w:p>
    <w:p>
      <w:pPr>
        <w:pStyle w:val="BodyText"/>
      </w:pPr>
      <w:r>
        <w:t xml:space="preserve">Real-time data will be monitored for anomalies. Any sensor malfunction will be addressed within 24 hours. Traffic counts and local events (e.g., construction, festivals) will be logged to correlate with air quality spikes.</w:t>
      </w:r>
    </w:p>
    <w:p>
      <w:pPr>
        <w:pStyle w:val="BodyText"/>
      </w:pPr>
      <w:r>
        <w:rPr>
          <w:bCs/>
          <w:b/>
        </w:rPr>
        <w:t xml:space="preserve">Phase 4: Retrieval and Analysis (Days 18-21)</w:t>
      </w:r>
    </w:p>
    <w:p>
      <w:pPr>
        <w:pStyle w:val="BodyText"/>
      </w:pPr>
      <w:r>
        <w:t xml:space="preserve">Sensors will be retrieved and recalibrated. The Environmental Engineer will analyze the collected data, comparing it against legal limits set by the BImSchG and WHO guidelines. Statistical methods will be used to identify trends and correlations.</w:t>
      </w:r>
    </w:p>
    <w:p>
      <w:pPr>
        <w:pStyle w:val="BodyText"/>
      </w:pPr>
      <w:r>
        <w:t xml:space="preserve">6. Safety and Compliance</w:t>
      </w:r>
    </w:p>
    <w:p>
      <w:pPr>
        <w:pStyle w:val="BodyText"/>
      </w:pPr>
      <w:r>
        <w:t xml:space="preserve">All activities will comply with German occupational safety regulations (DGUV). The Environmental Engineer will ensure that sensor installations do not obstruct public pathways or violate local ordinances. Data privacy will be maintained in accordance with the General Data Protection Regulation (GDPR), ensuring no personal data is collected through the monitoring devices.</w:t>
      </w:r>
    </w:p>
    <w:p>
      <w:pPr>
        <w:pStyle w:val="BodyText"/>
      </w:pPr>
      <w:r>
        <w:t xml:space="preserve">7. Expected Outcomes</w:t>
      </w:r>
    </w:p>
    <w:p>
      <w:pPr>
        <w:pStyle w:val="BodyText"/>
      </w:pPr>
      <w:r>
        <w:t xml:space="preserve">This experiment protocol aims to provide a detailed spatial and temporal map of air quality in Germany Berlin. The Environmental Engineer expects to identify specific areas where PM2.5 and NO2 levels exceed recommended limits, particularly during peak traffic hours. The findings will inform recommendations for traffic management, green infrastructure development, and policy adjustments to improve urban air quality and public health.</w:t>
      </w:r>
    </w:p>
    <w:p>
      <w:pPr>
        <w:pStyle w:val="BodyText"/>
      </w:pPr>
      <w:r>
        <w:t xml:space="preserve">8. Reporting</w:t>
      </w:r>
    </w:p>
    <w:p>
      <w:pPr>
        <w:pStyle w:val="BodyText"/>
      </w:pPr>
      <w:r>
        <w:t xml:space="preserve">A comprehensive report will be generated, detailing the methodology, results, and recommendations. The report will be submitted to relevant stakeholders, including the Berlin Senate Department for Environment, Transport and Climate Protection, and will be made available for public review to promote transparency and community engagement in environmental protection efforts.</w:t>
      </w:r>
    </w:p>
    <w:p>
      <w:pPr>
        <w:pStyle w:val="BodyText"/>
      </w:pPr>
      <w:r>
        <w:rPr>
          <w:bCs/>
          <w:b/>
        </w:rPr>
        <w:t xml:space="preserve">Prepared by:</w:t>
      </w:r>
      <w:r>
        <w:t xml:space="preserve"> </w:t>
      </w:r>
      <w:r>
        <w:t xml:space="preserve">[Name], Environmental Engineer</w:t>
      </w:r>
      <w:r>
        <w:br/>
      </w:r>
      <w:r>
        <w:rPr>
          <w:bCs/>
          <w:b/>
        </w:rPr>
        <w:t xml:space="preserve">Organization:</w:t>
      </w:r>
      <w:r>
        <w:t xml:space="preserve"> </w:t>
      </w:r>
      <w:r>
        <w:t xml:space="preserve">[Organization Name]</w:t>
      </w:r>
      <w:r>
        <w:br/>
      </w:r>
      <w:r>
        <w:rPr>
          <w:bCs/>
          <w:b/>
        </w:rPr>
        <w:t xml:space="preserve">Contact:</w:t>
      </w:r>
      <w:r>
        <w:t xml:space="preserve"> </w:t>
      </w:r>
      <w:r>
        <w:t xml:space="preserve">[Email Address]</w:t>
      </w:r>
      <w:r>
        <w:br/>
      </w:r>
      <w:r>
        <w:rPr>
          <w:bCs/>
          <w:b/>
        </w:rPr>
        <w:t xml:space="preserve">Location:</w:t>
      </w:r>
      <w:r>
        <w:t xml:space="preserve"> </w:t>
      </w:r>
      <w:r>
        <w:t xml:space="preserve">Germany Berlin</w:t>
      </w:r>
      <w:r>
        <w:br/>
      </w:r>
      <w:r>
        <w:rPr>
          <w:bCs/>
          <w:b/>
        </w:rPr>
        <w:t xml:space="preserve">Document Version:</w:t>
      </w:r>
      <w:r>
        <w:t xml:space="preserve"> </w:t>
      </w:r>
      <w:r>
        <w:t xml:space="preserve">1.0</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Urban Air Quality Assessment in Germany Berlin</dc:title>
  <dc:creator/>
  <dc:language>en</dc:language>
  <cp:keywords/>
  <dcterms:created xsi:type="dcterms:W3CDTF">2026-10-10T01:02:46Z</dcterms:created>
  <dcterms:modified xsi:type="dcterms:W3CDTF">2026-10-10T01:02:46Z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