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Air</w:t>
      </w:r>
      <w:r>
        <w:t xml:space="preserve"> </w:t>
      </w:r>
      <w:r>
        <w:t xml:space="preserve">Quality</w:t>
      </w:r>
      <w:r>
        <w:t xml:space="preserve"> </w:t>
      </w:r>
      <w:r>
        <w:t xml:space="preserve">and</w:t>
      </w:r>
      <w:r>
        <w:t xml:space="preserve"> </w:t>
      </w:r>
      <w:r>
        <w:t xml:space="preserve">Particulate</w:t>
      </w:r>
      <w:r>
        <w:t xml:space="preserve"> </w:t>
      </w:r>
      <w:r>
        <w:t xml:space="preserve">Matter</w:t>
      </w:r>
      <w:r>
        <w:t xml:space="preserve"> </w:t>
      </w:r>
      <w:r>
        <w:t xml:space="preserve">Analysis</w:t>
      </w:r>
    </w:p>
    <w:bookmarkStart w:id="30" w:name="Xaf6add4edf0be0e2f9b1469c88717b4b24234e5"/>
    <w:p>
      <w:pPr>
        <w:pStyle w:val="Heading1"/>
      </w:pPr>
      <w:r>
        <w:t xml:space="preserve">Experiment Protocol: Urban Air Quality and Particulate Matter Analysis</w:t>
      </w:r>
    </w:p>
    <w:p>
      <w:pPr>
        <w:pStyle w:val="FirstParagraph"/>
      </w:pPr>
      <w:r>
        <w:rPr>
          <w:bCs/>
          <w:b/>
        </w:rPr>
        <w:t xml:space="preserve">Project Title:</w:t>
      </w:r>
      <w:r>
        <w:t xml:space="preserve"> </w:t>
      </w:r>
      <w:r>
        <w:t xml:space="preserve">Comparative Analysis of PM2.5 and NO2 Concentrations in High-Density Urban Zones</w:t>
      </w:r>
    </w:p>
    <w:p>
      <w:pPr>
        <w:pStyle w:val="BodyText"/>
      </w:pPr>
      <w:r>
        <w:rPr>
          <w:bCs/>
          <w:b/>
        </w:rPr>
        <w:t xml:space="preserve">Location:</w:t>
      </w:r>
      <w:r>
        <w:t xml:space="preserve"> </w:t>
      </w:r>
      <w:r>
        <w:t xml:space="preserve">Munich, Germany (Bavaria)</w:t>
      </w:r>
    </w:p>
    <w:p>
      <w:pPr>
        <w:pStyle w:val="BodyText"/>
      </w:pPr>
      <w:r>
        <w:rPr>
          <w:bCs/>
          <w:b/>
        </w:rPr>
        <w:t xml:space="preserve">Lead Environmental Engineer:</w:t>
      </w:r>
      <w:r>
        <w:t xml:space="preserve"> </w:t>
      </w:r>
      <w:r>
        <w:t xml:space="preserve">[Name Redacted]</w:t>
      </w:r>
    </w:p>
    <w:p>
      <w:pPr>
        <w:pStyle w:val="BodyText"/>
      </w:pPr>
      <w:r>
        <w:rPr>
          <w:bCs/>
          <w:b/>
        </w:rPr>
        <w:t xml:space="preserve">Protocol Version:</w:t>
      </w:r>
      <w:r>
        <w:t xml:space="preserve"> </w:t>
      </w:r>
      <w:r>
        <w:t xml:space="preserve">1.0</w:t>
      </w:r>
    </w:p>
    <w:p>
      <w:pPr>
        <w:pStyle w:val="BodyText"/>
      </w:pPr>
      <w:r>
        <w:rPr>
          <w:bCs/>
          <w:b/>
        </w:rPr>
        <w:t xml:space="preserve">Date of Issue:</w:t>
      </w:r>
      <w:r>
        <w:t xml:space="preserve"> </w:t>
      </w:r>
      <w:r>
        <w:t xml:space="preserve">October 24, 2023</w:t>
      </w:r>
    </w:p>
    <w:p>
      <w:pPr>
        <w:pStyle w:val="BodyText"/>
      </w:pPr>
      <w:r>
        <w:rPr>
          <w:bCs/>
          <w:b/>
        </w:rPr>
        <w:t xml:space="preserve">Regulatory Framework:</w:t>
      </w:r>
      <w:r>
        <w:t xml:space="preserve"> </w:t>
      </w:r>
      <w:r>
        <w:t xml:space="preserve">German Federal Immission Control Act (BImSchG), EU Directive 2008/50/EC</w:t>
      </w:r>
    </w:p>
    <w:bookmarkStart w:id="20" w:name="objective-and-scope"/>
    <w:p>
      <w:pPr>
        <w:pStyle w:val="Heading2"/>
      </w:pPr>
      <w:r>
        <w:t xml:space="preserve">1. Objective and Scope</w:t>
      </w:r>
    </w:p>
    <w:p>
      <w:pPr>
        <w:pStyle w:val="FirstParagraph"/>
      </w:pPr>
      <w:r>
        <w:t xml:space="preserve">This Experiment Protocol outlines the standardized procedures for the Environmental Engineer to conduct field sampling and laboratory analysis of air pollutants within the metropolitan area of Munich, Germany. The primary objective is to quantify the concentration of fine particulate matter (PM2.5) and nitrogen dioxide (NO2) in specific high-traffic districts, such as Schwabing and the city center (Altstadt-Lehel).</w:t>
      </w:r>
    </w:p>
    <w:p>
      <w:pPr>
        <w:pStyle w:val="BodyText"/>
      </w:pPr>
      <w:r>
        <w:t xml:space="preserve">The data collected will be used to assess compliance with the 24-hour limit values established by the German Federal Environmental Agency (UBA) and to evaluate the efficacy of current low-emission zones (Umweltzone). This protocol ensures that all experimental activities adhere to the rigorous scientific and legal standards required for environmental monitoring in Germany.</w:t>
      </w:r>
    </w:p>
    <w:bookmarkEnd w:id="20"/>
    <w:bookmarkStart w:id="21" w:name="regulatory-compliance-and-standards"/>
    <w:p>
      <w:pPr>
        <w:pStyle w:val="Heading2"/>
      </w:pPr>
      <w:r>
        <w:t xml:space="preserve">2. Regulatory Compliance and Standards</w:t>
      </w:r>
    </w:p>
    <w:p>
      <w:pPr>
        <w:pStyle w:val="FirstParagraph"/>
      </w:pPr>
      <w:r>
        <w:t xml:space="preserve">All procedures defined in this protocol must strictly adhere to the following regulations and standards:</w:t>
      </w:r>
    </w:p>
    <w:p>
      <w:pPr>
        <w:numPr>
          <w:ilvl w:val="0"/>
          <w:numId w:val="1001"/>
        </w:numPr>
        <w:pStyle w:val="Compact"/>
      </w:pPr>
      <w:r>
        <w:rPr>
          <w:bCs/>
          <w:b/>
        </w:rPr>
        <w:t xml:space="preserve">BImSchG (Bundes-Immissionsschutzgesetz):</w:t>
      </w:r>
      <w:r>
        <w:t xml:space="preserve"> </w:t>
      </w:r>
      <w:r>
        <w:t xml:space="preserve">The Federal Immission Control Act, specifically the 39th BImSchV (Air Quality Guideline), which sets the binding limit values for pollutants.</w:t>
      </w:r>
    </w:p>
    <w:p>
      <w:pPr>
        <w:numPr>
          <w:ilvl w:val="0"/>
          <w:numId w:val="1001"/>
        </w:numPr>
        <w:pStyle w:val="Compact"/>
      </w:pPr>
      <w:r>
        <w:rPr>
          <w:bCs/>
          <w:b/>
        </w:rPr>
        <w:t xml:space="preserve">DIN EN 12341:</w:t>
      </w:r>
      <w:r>
        <w:t xml:space="preserve"> </w:t>
      </w:r>
      <w:r>
        <w:t xml:space="preserve">Standard for the determination of PM2.5 mass concentration in ambient air.</w:t>
      </w:r>
    </w:p>
    <w:p>
      <w:pPr>
        <w:numPr>
          <w:ilvl w:val="0"/>
          <w:numId w:val="1001"/>
        </w:numPr>
        <w:pStyle w:val="Compact"/>
      </w:pPr>
      <w:r>
        <w:rPr>
          <w:bCs/>
          <w:b/>
        </w:rPr>
        <w:t xml:space="preserve">DIN EN 14211:</w:t>
      </w:r>
      <w:r>
        <w:t xml:space="preserve"> </w:t>
      </w:r>
      <w:r>
        <w:t xml:space="preserve">Standard for the determination of nitrogen dioxide in ambient air.</w:t>
      </w:r>
    </w:p>
    <w:p>
      <w:pPr>
        <w:numPr>
          <w:ilvl w:val="0"/>
          <w:numId w:val="1001"/>
        </w:numPr>
        <w:pStyle w:val="Compact"/>
      </w:pPr>
      <w:r>
        <w:rPr>
          <w:bCs/>
          <w:b/>
        </w:rPr>
        <w:t xml:space="preserve">GDPR (DSGVO):</w:t>
      </w:r>
      <w:r>
        <w:t xml:space="preserve"> </w:t>
      </w:r>
      <w:r>
        <w:t xml:space="preserve">Data protection regulations regarding the handling of any incidental personal data during field operations.</w:t>
      </w:r>
    </w:p>
    <w:bookmarkEnd w:id="21"/>
    <w:bookmarkStart w:id="22" w:name="equipment-and-materials"/>
    <w:p>
      <w:pPr>
        <w:pStyle w:val="Heading2"/>
      </w:pPr>
      <w:r>
        <w:t xml:space="preserve">3. Equipment and Materials</w:t>
      </w:r>
    </w:p>
    <w:p>
      <w:pPr>
        <w:pStyle w:val="FirstParagraph"/>
      </w:pPr>
      <w:r>
        <w:t xml:space="preserve">The Environmental Engineer must ensure that all equipment is calibrated and certified prior to deployment. The following equipment list is mandatory for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High-Volume Sampler</w:t>
            </w:r>
          </w:p>
        </w:tc>
        <w:tc>
          <w:tcPr/>
          <w:p>
            <w:pPr>
              <w:pStyle w:val="Compact"/>
              <w:jc w:val="left"/>
            </w:pPr>
            <w:r>
              <w:t xml:space="preserve">PM2.5 specific, flow rate 1.0 m³/h</w:t>
            </w:r>
          </w:p>
        </w:tc>
        <w:tc>
          <w:tcPr/>
          <w:p>
            <w:pPr>
              <w:pStyle w:val="Compact"/>
              <w:jc w:val="left"/>
            </w:pPr>
            <w:r>
              <w:t xml:space="preserve">4 Units</w:t>
            </w:r>
          </w:p>
        </w:tc>
      </w:tr>
      <w:tr>
        <w:tc>
          <w:tcPr/>
          <w:p>
            <w:pPr>
              <w:pStyle w:val="Compact"/>
              <w:jc w:val="left"/>
            </w:pPr>
            <w:r>
              <w:t xml:space="preserve">Chemical Absorption Tubes</w:t>
            </w:r>
          </w:p>
        </w:tc>
        <w:tc>
          <w:tcPr/>
          <w:p>
            <w:pPr>
              <w:pStyle w:val="Compact"/>
              <w:jc w:val="left"/>
            </w:pPr>
            <w:r>
              <w:t xml:space="preserve">For NO2 analysis (DIN EN 14211 compliant)</w:t>
            </w:r>
          </w:p>
        </w:tc>
        <w:tc>
          <w:tcPr/>
          <w:p>
            <w:pPr>
              <w:pStyle w:val="Compact"/>
              <w:jc w:val="left"/>
            </w:pPr>
            <w:r>
              <w:t xml:space="preserve">50 Units</w:t>
            </w:r>
          </w:p>
        </w:tc>
      </w:tr>
      <w:tr>
        <w:tc>
          <w:tcPr/>
          <w:p>
            <w:pPr>
              <w:pStyle w:val="Compact"/>
              <w:jc w:val="left"/>
            </w:pPr>
            <w:r>
              <w:t xml:space="preserve">Quartz Fiber Filters</w:t>
            </w:r>
          </w:p>
        </w:tc>
        <w:tc>
          <w:tcPr/>
          <w:p>
            <w:pPr>
              <w:pStyle w:val="Compact"/>
              <w:jc w:val="left"/>
            </w:pPr>
            <w:r>
              <w:t xml:space="preserve">Pre-weighed, 47mm diameter</w:t>
            </w:r>
          </w:p>
        </w:tc>
        <w:tc>
          <w:tcPr/>
          <w:p>
            <w:pPr>
              <w:pStyle w:val="Compact"/>
              <w:jc w:val="left"/>
            </w:pPr>
            <w:r>
              <w:t xml:space="preserve">100 Units</w:t>
            </w:r>
          </w:p>
        </w:tc>
      </w:tr>
      <w:tr>
        <w:tc>
          <w:tcPr/>
          <w:p>
            <w:pPr>
              <w:pStyle w:val="Compact"/>
              <w:jc w:val="left"/>
            </w:pPr>
            <w:r>
              <w:t xml:space="preserve">GPS Device</w:t>
            </w:r>
          </w:p>
        </w:tc>
        <w:tc>
          <w:tcPr/>
          <w:p>
            <w:pPr>
              <w:pStyle w:val="Compact"/>
              <w:jc w:val="left"/>
            </w:pPr>
            <w:r>
              <w:t xml:space="preserve">High-precision geolocation</w:t>
            </w:r>
          </w:p>
        </w:tc>
        <w:tc>
          <w:tcPr/>
          <w:p>
            <w:pPr>
              <w:pStyle w:val="Compact"/>
              <w:jc w:val="left"/>
            </w:pPr>
            <w:r>
              <w:t xml:space="preserve">2 Units</w:t>
            </w:r>
          </w:p>
        </w:tc>
      </w:tr>
      <w:tr>
        <w:tc>
          <w:tcPr/>
          <w:p>
            <w:pPr>
              <w:pStyle w:val="Compact"/>
              <w:jc w:val="left"/>
            </w:pPr>
            <w:r>
              <w:t xml:space="preserve">Weather Station</w:t>
            </w:r>
          </w:p>
        </w:tc>
        <w:tc>
          <w:tcPr/>
          <w:p>
            <w:pPr>
              <w:pStyle w:val="Compact"/>
              <w:jc w:val="left"/>
            </w:pPr>
            <w:r>
              <w:t xml:space="preserve">Measures Temp, Humidity, Wind Speed</w:t>
            </w:r>
          </w:p>
        </w:tc>
        <w:tc>
          <w:tcPr/>
          <w:p>
            <w:pPr>
              <w:pStyle w:val="Compact"/>
              <w:jc w:val="left"/>
            </w:pPr>
            <w:r>
              <w:t xml:space="preserve">1 Unit</w:t>
            </w:r>
          </w:p>
        </w:tc>
      </w:tr>
    </w:tbl>
    <w:bookmarkEnd w:id="22"/>
    <w:bookmarkStart w:id="26" w:name="experimental-procedure"/>
    <w:p>
      <w:pPr>
        <w:pStyle w:val="Heading2"/>
      </w:pPr>
      <w:r>
        <w:t xml:space="preserve">4. Experimental Procedure</w:t>
      </w:r>
    </w:p>
    <w:bookmarkStart w:id="23" w:name="site-selection-in-munich"/>
    <w:p>
      <w:pPr>
        <w:pStyle w:val="Heading3"/>
      </w:pPr>
      <w:r>
        <w:t xml:space="preserve">4.1 Site Selection in Munich</w:t>
      </w:r>
    </w:p>
    <w:p>
      <w:pPr>
        <w:pStyle w:val="FirstParagraph"/>
      </w:pPr>
      <w:r>
        <w:t xml:space="preserve">The Environmental Engineer shall select sampling sites based on traffic density and population exposure. Priority sites include:</w:t>
      </w:r>
    </w:p>
    <w:p>
      <w:pPr>
        <w:numPr>
          <w:ilvl w:val="0"/>
          <w:numId w:val="1002"/>
        </w:numPr>
        <w:pStyle w:val="Compact"/>
      </w:pPr>
      <w:r>
        <w:rPr>
          <w:bCs/>
          <w:b/>
        </w:rPr>
        <w:t xml:space="preserve">Site A:</w:t>
      </w:r>
      <w:r>
        <w:t xml:space="preserve"> </w:t>
      </w:r>
      <w:r>
        <w:t xml:space="preserve">Maxvorstadt (University area, mixed traffic).</w:t>
      </w:r>
    </w:p>
    <w:p>
      <w:pPr>
        <w:numPr>
          <w:ilvl w:val="0"/>
          <w:numId w:val="1002"/>
        </w:numPr>
        <w:pStyle w:val="Compact"/>
      </w:pPr>
      <w:r>
        <w:rPr>
          <w:bCs/>
          <w:b/>
        </w:rPr>
        <w:t xml:space="preserve">Site B:</w:t>
      </w:r>
      <w:r>
        <w:t xml:space="preserve"> </w:t>
      </w:r>
      <w:r>
        <w:t xml:space="preserve">Marienplatz (City center, pedestrian zone edge).</w:t>
      </w:r>
    </w:p>
    <w:p>
      <w:pPr>
        <w:numPr>
          <w:ilvl w:val="0"/>
          <w:numId w:val="1002"/>
        </w:numPr>
        <w:pStyle w:val="Compact"/>
      </w:pPr>
      <w:r>
        <w:rPr>
          <w:bCs/>
          <w:b/>
        </w:rPr>
        <w:t xml:space="preserve">Site C:</w:t>
      </w:r>
      <w:r>
        <w:t xml:space="preserve"> </w:t>
      </w:r>
      <w:r>
        <w:t xml:space="preserve">Pasing (Suburban industrial/residential mix).</w:t>
      </w:r>
    </w:p>
    <w:p>
      <w:pPr>
        <w:numPr>
          <w:ilvl w:val="0"/>
          <w:numId w:val="1002"/>
        </w:numPr>
        <w:pStyle w:val="Compact"/>
      </w:pPr>
      <w:r>
        <w:rPr>
          <w:bCs/>
          <w:b/>
        </w:rPr>
        <w:t xml:space="preserve">Site D:</w:t>
      </w:r>
      <w:r>
        <w:t xml:space="preserve"> </w:t>
      </w:r>
      <w:r>
        <w:t xml:space="preserve">Isar Riverbank (Background reference site).</w:t>
      </w:r>
    </w:p>
    <w:p>
      <w:pPr>
        <w:pStyle w:val="FirstParagraph"/>
      </w:pPr>
      <w:r>
        <w:t xml:space="preserve">All sites must be installed at a height of 3 to 5 meters above ground level, ensuring a minimum distance of 2 meters from vertical surfaces to avoid turbulence, in accordance with UBA guidelines.</w:t>
      </w:r>
    </w:p>
    <w:bookmarkEnd w:id="23"/>
    <w:bookmarkStart w:id="24" w:name="sampling-protocol"/>
    <w:p>
      <w:pPr>
        <w:pStyle w:val="Heading3"/>
      </w:pPr>
      <w:r>
        <w:t xml:space="preserve">4.2 Sampling Protocol</w:t>
      </w:r>
    </w:p>
    <w:p>
      <w:pPr>
        <w:pStyle w:val="FirstParagraph"/>
      </w:pPr>
      <w:r>
        <w:t xml:space="preserve">The sampling campaign will run for a continuous period of 14 days. The Environmental Engineer must perform the following steps:</w:t>
      </w:r>
    </w:p>
    <w:p>
      <w:pPr>
        <w:numPr>
          <w:ilvl w:val="0"/>
          <w:numId w:val="1003"/>
        </w:numPr>
        <w:pStyle w:val="Compact"/>
      </w:pPr>
      <w:r>
        <w:rPr>
          <w:bCs/>
          <w:b/>
        </w:rPr>
        <w:t xml:space="preserve">Calibration:</w:t>
      </w:r>
      <w:r>
        <w:t xml:space="preserve"> </w:t>
      </w:r>
      <w:r>
        <w:t xml:space="preserve">Verify flow rates of all samplers using a primary standard flow meter before installation.</w:t>
      </w:r>
    </w:p>
    <w:p>
      <w:pPr>
        <w:numPr>
          <w:ilvl w:val="0"/>
          <w:numId w:val="1003"/>
        </w:numPr>
        <w:pStyle w:val="Compact"/>
      </w:pPr>
      <w:r>
        <w:rPr>
          <w:bCs/>
          <w:b/>
        </w:rPr>
        <w:t xml:space="preserve">Filter Preparation:</w:t>
      </w:r>
      <w:r>
        <w:t xml:space="preserve"> </w:t>
      </w:r>
      <w:r>
        <w:t xml:space="preserve">Weigh quartz fiber filters in a climate-controlled laboratory (20°C ± 1°C, 50% ± 5% RH) and record initial mass.</w:t>
      </w:r>
    </w:p>
    <w:p>
      <w:pPr>
        <w:numPr>
          <w:ilvl w:val="0"/>
          <w:numId w:val="1003"/>
        </w:numPr>
        <w:pStyle w:val="Compact"/>
      </w:pPr>
      <w:r>
        <w:rPr>
          <w:bCs/>
          <w:b/>
        </w:rPr>
        <w:t xml:space="preserve">Installation:</w:t>
      </w:r>
      <w:r>
        <w:t xml:space="preserve"> </w:t>
      </w:r>
      <w:r>
        <w:t xml:space="preserve">Install samplers at designated Munich sites. Ensure power supply stability and secure the equipment against tampering.</w:t>
      </w:r>
    </w:p>
    <w:p>
      <w:pPr>
        <w:numPr>
          <w:ilvl w:val="0"/>
          <w:numId w:val="1003"/>
        </w:numPr>
        <w:pStyle w:val="Compact"/>
      </w:pPr>
      <w:r>
        <w:rPr>
          <w:bCs/>
          <w:b/>
        </w:rPr>
        <w:t xml:space="preserve">Operation:</w:t>
      </w:r>
      <w:r>
        <w:t xml:space="preserve"> </w:t>
      </w:r>
      <w:r>
        <w:t xml:space="preserve">Initiate sampling. For PM2.5, operate continuously for 24-hour cycles. For NO2, operate chemical absorption tubes for 24-hour cycles.</w:t>
      </w:r>
    </w:p>
    <w:p>
      <w:pPr>
        <w:numPr>
          <w:ilvl w:val="0"/>
          <w:numId w:val="1003"/>
        </w:numPr>
        <w:pStyle w:val="Compact"/>
      </w:pPr>
      <w:r>
        <w:rPr>
          <w:bCs/>
          <w:b/>
        </w:rPr>
        <w:t xml:space="preserve">Monitoring:</w:t>
      </w:r>
      <w:r>
        <w:t xml:space="preserve"> </w:t>
      </w:r>
      <w:r>
        <w:t xml:space="preserve">The Environmental Engineer must visit each site every 24 hours to replace filters and absorption tubes, check equipment status, and record meteorological data.</w:t>
      </w:r>
    </w:p>
    <w:bookmarkEnd w:id="24"/>
    <w:bookmarkStart w:id="25" w:name="laboratory-analysis"/>
    <w:p>
      <w:pPr>
        <w:pStyle w:val="Heading3"/>
      </w:pPr>
      <w:r>
        <w:t xml:space="preserve">4.3 Laboratory Analysis</w:t>
      </w:r>
    </w:p>
    <w:p>
      <w:pPr>
        <w:pStyle w:val="FirstParagraph"/>
      </w:pPr>
      <w:r>
        <w:t xml:space="preserve">Upon collection, samples must be transported to the accredited laboratory within 48 hours.</w:t>
      </w:r>
    </w:p>
    <w:p>
      <w:pPr>
        <w:numPr>
          <w:ilvl w:val="0"/>
          <w:numId w:val="1004"/>
        </w:numPr>
        <w:pStyle w:val="Compact"/>
      </w:pPr>
      <w:r>
        <w:rPr>
          <w:bCs/>
          <w:b/>
        </w:rPr>
        <w:t xml:space="preserve">PM2.5 Analysis:</w:t>
      </w:r>
      <w:r>
        <w:t xml:space="preserve"> </w:t>
      </w:r>
      <w:r>
        <w:t xml:space="preserve">Filters will be conditioned for 48 hours in the climate chamber and re-weighed. The mass difference represents the PM2.5 concentration.</w:t>
      </w:r>
    </w:p>
    <w:p>
      <w:pPr>
        <w:numPr>
          <w:ilvl w:val="0"/>
          <w:numId w:val="1004"/>
        </w:numPr>
        <w:pStyle w:val="Compact"/>
      </w:pPr>
      <w:r>
        <w:rPr>
          <w:bCs/>
          <w:b/>
        </w:rPr>
        <w:t xml:space="preserve">NO2 Analysis:</w:t>
      </w:r>
      <w:r>
        <w:t xml:space="preserve"> </w:t>
      </w:r>
      <w:r>
        <w:t xml:space="preserve">Absorption tubes will be analyzed using spectrophotometry according to the Griess-Saltzmann reaction method.</w:t>
      </w:r>
    </w:p>
    <w:bookmarkEnd w:id="25"/>
    <w:bookmarkEnd w:id="26"/>
    <w:bookmarkStart w:id="27" w:name="data-management-and-reporting"/>
    <w:p>
      <w:pPr>
        <w:pStyle w:val="Heading2"/>
      </w:pPr>
      <w:r>
        <w:t xml:space="preserve">5. Data Management and Reporting</w:t>
      </w:r>
    </w:p>
    <w:p>
      <w:pPr>
        <w:pStyle w:val="FirstParagraph"/>
      </w:pPr>
      <w:r>
        <w:t xml:space="preserve">All data must be recorded in a digital logbook compliant with German data integrity standards. The Environmental Engineer is responsible for:</w:t>
      </w:r>
    </w:p>
    <w:p>
      <w:pPr>
        <w:numPr>
          <w:ilvl w:val="0"/>
          <w:numId w:val="1005"/>
        </w:numPr>
        <w:pStyle w:val="Compact"/>
      </w:pPr>
      <w:r>
        <w:t xml:space="preserve">Calculating mean concentrations and comparing them against the BImSchG limit values (e.g., 40 µg/m³ annual mean for NO2).</w:t>
      </w:r>
    </w:p>
    <w:p>
      <w:pPr>
        <w:numPr>
          <w:ilvl w:val="0"/>
          <w:numId w:val="1005"/>
        </w:numPr>
        <w:pStyle w:val="Compact"/>
      </w:pPr>
      <w:r>
        <w:t xml:space="preserve">Identifying any exceedances and correlating them with traffic data provided by the City of Munich.</w:t>
      </w:r>
    </w:p>
    <w:p>
      <w:pPr>
        <w:numPr>
          <w:ilvl w:val="0"/>
          <w:numId w:val="1005"/>
        </w:numPr>
        <w:pStyle w:val="Compact"/>
      </w:pPr>
      <w:r>
        <w:t xml:space="preserve">Generating a final report in both German and English for submission to the local environmental authority (Landesamt für Umwelt).</w:t>
      </w:r>
    </w:p>
    <w:bookmarkEnd w:id="27"/>
    <w:bookmarkStart w:id="28" w:name="health-and-safety"/>
    <w:p>
      <w:pPr>
        <w:pStyle w:val="Heading2"/>
      </w:pPr>
      <w:r>
        <w:t xml:space="preserve">6. Health and Safety</w:t>
      </w:r>
    </w:p>
    <w:p>
      <w:pPr>
        <w:pStyle w:val="FirstParagraph"/>
      </w:pPr>
      <w:r>
        <w:t xml:space="preserve">The Environmental Engineer must adhere to the German Occupational Health and Safety Act (ArbSchG). Personal Protective Equipment (PPE), including high-visibility vests and safety shoes, is mandatory when working near traffic in Munich. In case of equipment failure or hazardous conditions, work must cease immediately, and the safety officer must be notified.</w:t>
      </w:r>
    </w:p>
    <w:bookmarkEnd w:id="28"/>
    <w:bookmarkStart w:id="29" w:name="approval-and-signatures"/>
    <w:p>
      <w:pPr>
        <w:pStyle w:val="Heading2"/>
      </w:pPr>
      <w:r>
        <w:t xml:space="preserve">7. Approval and Signatures</w:t>
      </w:r>
    </w:p>
    <w:p>
      <w:pPr>
        <w:pStyle w:val="FirstParagraph"/>
      </w:pPr>
      <w:r>
        <w:t xml:space="preserve">By signing below, the undersigned confirm that they have read, understood, and agree to follow this Experiment Protocol strictly.</w:t>
      </w:r>
    </w:p>
    <w:p>
      <w:pPr>
        <w:pStyle w:val="BodyText"/>
      </w:pPr>
      <w:r>
        <w:rPr>
          <w:bCs/>
          <w:b/>
        </w:rPr>
        <w:t xml:space="preserve">Lead Environmental Engineer</w:t>
      </w:r>
    </w:p>
    <w:p>
      <w:pPr>
        <w:pStyle w:val="BodyText"/>
      </w:pPr>
      <w:r>
        <w:t xml:space="preserve">Name: __________________________</w:t>
      </w:r>
    </w:p>
    <w:p>
      <w:pPr>
        <w:pStyle w:val="BodyText"/>
      </w:pPr>
      <w:r>
        <w:t xml:space="preserve">Date: __________________________</w:t>
      </w:r>
    </w:p>
    <w:p>
      <w:pPr>
        <w:pStyle w:val="BodyText"/>
      </w:pPr>
      <w:r>
        <w:t xml:space="preserve">Signature: ______________________</w:t>
      </w:r>
    </w:p>
    <w:p>
      <w:pPr>
        <w:pStyle w:val="BodyText"/>
      </w:pPr>
      <w:r>
        <w:rPr>
          <w:bCs/>
          <w:b/>
        </w:rPr>
        <w:t xml:space="preserve">Project Supervisor</w:t>
      </w:r>
    </w:p>
    <w:p>
      <w:pPr>
        <w:pStyle w:val="BodyText"/>
      </w:pPr>
      <w:r>
        <w:t xml:space="preserve">Name: __________________________</w:t>
      </w:r>
    </w:p>
    <w:p>
      <w:pPr>
        <w:pStyle w:val="BodyText"/>
      </w:pPr>
      <w:r>
        <w:t xml:space="preserve">Date: __________________________</w:t>
      </w:r>
    </w:p>
    <w:p>
      <w:pPr>
        <w:pStyle w:val="BodyText"/>
      </w:pPr>
      <w:r>
        <w:t xml:space="preserve">Signature: ______________________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Air Quality and Particulate Matter Analysis</dc:title>
  <dc:creator/>
  <dc:language>en</dc:language>
  <cp:keywords/>
  <dcterms:created xsi:type="dcterms:W3CDTF">2026-10-10T02:14:30Z</dcterms:created>
  <dcterms:modified xsi:type="dcterms:W3CDTF">2026-10-10T02:14:30Z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