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r>
        <w:t xml:space="preserve"> </w:t>
      </w:r>
      <w:r>
        <w:t xml:space="preserve">in</w:t>
      </w:r>
      <w:r>
        <w:t xml:space="preserve"> </w:t>
      </w:r>
      <w:r>
        <w:t xml:space="preserve">Accra,</w:t>
      </w:r>
      <w:r>
        <w:t xml:space="preserve"> </w:t>
      </w:r>
      <w:r>
        <w:t xml:space="preserve">Ghana</w:t>
      </w:r>
    </w:p>
    <w:p>
      <w:pPr>
        <w:pStyle w:val="FirstParagraph"/>
      </w:pPr>
      <w:r>
        <w:rPr>
          <w:bCs/>
          <w:b/>
        </w:rPr>
        <w:t xml:space="preserve">Document ID:</w:t>
      </w:r>
      <w:r>
        <w:t xml:space="preserve"> </w:t>
      </w:r>
      <w:r>
        <w:t xml:space="preserve">EP-GH-ACC-2023-001</w:t>
      </w:r>
      <w:r>
        <w:br/>
      </w:r>
      <w:r>
        <w:rPr>
          <w:bCs/>
          <w:b/>
        </w:rPr>
        <w:t xml:space="preserve">Date:</w:t>
      </w:r>
      <w:r>
        <w:t xml:space="preserve"> </w:t>
      </w:r>
      <w:r>
        <w:t xml:space="preserve">October 24, 2023</w:t>
      </w:r>
      <w:r>
        <w:br/>
      </w:r>
      <w:r>
        <w:rPr>
          <w:bCs/>
          <w:b/>
        </w:rPr>
        <w:t xml:space="preserve">Location:</w:t>
      </w:r>
      <w:r>
        <w:t xml:space="preserve"> </w:t>
      </w:r>
      <w:r>
        <w:t xml:space="preserve">Accra, Ghana</w:t>
      </w:r>
      <w:r>
        <w:br/>
      </w:r>
      <w:r>
        <w:rPr>
          <w:bCs/>
          <w:b/>
        </w:rPr>
        <w:t xml:space="preserve">Prepared By:</w:t>
      </w:r>
      <w:r>
        <w:t xml:space="preserve"> </w:t>
      </w:r>
      <w:r>
        <w:t xml:space="preserve">Lead Environmental Engineer</w:t>
      </w:r>
      <w:r>
        <w:br/>
      </w:r>
      <w:r>
        <w:rPr>
          <w:bCs/>
          <w:b/>
        </w:rPr>
        <w:t xml:space="preserve">Subject:</w:t>
      </w:r>
      <w:r>
        <w:t xml:space="preserve"> </w:t>
      </w:r>
      <w:r>
        <w:t xml:space="preserve">Experiment Protocol for Surface Water Quality Analysis in the Odaw River Basin</w:t>
      </w:r>
    </w:p>
    <w:bookmarkStart w:id="32" w:name="X45f7e329144f7c504da09edd038e716fa9a7e36"/>
    <w:p>
      <w:pPr>
        <w:pStyle w:val="Heading1"/>
      </w:pPr>
      <w:r>
        <w:t xml:space="preserve">Experiment Protocol: Assessment of Heavy Metal Contamination and Microplastics in Urban Waterways</w:t>
      </w:r>
    </w:p>
    <w:bookmarkStart w:id="20" w:name="introduction-and-background"/>
    <w:p>
      <w:pPr>
        <w:pStyle w:val="Heading2"/>
      </w:pPr>
      <w:r>
        <w:t xml:space="preserve">1. Introduction and Background</w:t>
      </w:r>
    </w:p>
    <w:p>
      <w:pPr>
        <w:pStyle w:val="FirstParagraph"/>
      </w:pPr>
      <w:r>
        <w:t xml:space="preserve">This Experiment Protocol is designed for the use of the Environmental Engineer team operating within the Greater Accra Region of Ghana. Accra, as the capital and economic hub of Ghana, faces significant environmental challenges due to rapid urbanization, industrial expansion, and inadequate waste management infrastructure. The Odaw River, which flows through the heart of Accra, serves as a critical case study for understanding the impact of anthropogenic activities on local water resources.</w:t>
      </w:r>
    </w:p>
    <w:p>
      <w:pPr>
        <w:pStyle w:val="BodyText"/>
      </w:pPr>
      <w:r>
        <w:t xml:space="preserve">The primary objective of this experiment is to quantify the concentration of heavy metals (specifically Lead, Cadmium, and Mercury) and microplastic particles in surface water samples collected from three distinct zones along the Odaw River. This data is essential for the Environmental Engineer to assess compliance with the Ghana Standards Authority (GSA) drinking water standards and to propose remediation strategies to the Environmental Protection Agency (EPA) of Ghana.</w:t>
      </w:r>
    </w:p>
    <w:bookmarkEnd w:id="20"/>
    <w:bookmarkStart w:id="21" w:name="objectives"/>
    <w:p>
      <w:pPr>
        <w:pStyle w:val="Heading2"/>
      </w:pPr>
      <w:r>
        <w:t xml:space="preserve">2. Objectives</w:t>
      </w:r>
    </w:p>
    <w:p>
      <w:pPr>
        <w:numPr>
          <w:ilvl w:val="0"/>
          <w:numId w:val="1001"/>
        </w:numPr>
        <w:pStyle w:val="Compact"/>
      </w:pPr>
      <w:r>
        <w:t xml:space="preserve">To determine the spatial distribution of heavy metal pollutants in the Odaw River.</w:t>
      </w:r>
    </w:p>
    <w:p>
      <w:pPr>
        <w:numPr>
          <w:ilvl w:val="0"/>
          <w:numId w:val="1001"/>
        </w:numPr>
        <w:pStyle w:val="Compact"/>
      </w:pPr>
      <w:r>
        <w:t xml:space="preserve">To identify the presence and density of microplastics in surface water and sediment samples.</w:t>
      </w:r>
    </w:p>
    <w:p>
      <w:pPr>
        <w:numPr>
          <w:ilvl w:val="0"/>
          <w:numId w:val="1001"/>
        </w:numPr>
        <w:pStyle w:val="Compact"/>
      </w:pPr>
      <w:r>
        <w:t xml:space="preserve">To correlate pollution levels with specific land-use activities (industrial vs. residential) in Accra.</w:t>
      </w:r>
    </w:p>
    <w:p>
      <w:pPr>
        <w:numPr>
          <w:ilvl w:val="0"/>
          <w:numId w:val="1001"/>
        </w:numPr>
        <w:pStyle w:val="Compact"/>
      </w:pPr>
      <w:r>
        <w:t xml:space="preserve">To provide actionable data for the Environmental Engineer to recommend policy interventions.</w:t>
      </w:r>
    </w:p>
    <w:bookmarkEnd w:id="21"/>
    <w:bookmarkStart w:id="22" w:name="site-selection-and-sampling-strategy"/>
    <w:p>
      <w:pPr>
        <w:pStyle w:val="Heading2"/>
      </w:pPr>
      <w:r>
        <w:t xml:space="preserve">3. Site Selection and Sampling Strategy</w:t>
      </w:r>
    </w:p>
    <w:p>
      <w:pPr>
        <w:pStyle w:val="FirstParagraph"/>
      </w:pPr>
      <w:r>
        <w:t xml:space="preserve">The Environmental Engineer must select sampling sites that represent the gradient of pollution from upstream to downstream. The following sites are designated for this protocol: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Site ID</w:t>
            </w:r>
          </w:p>
        </w:tc>
        <w:tc>
          <w:tcPr/>
          <w:p>
            <w:pPr>
              <w:pStyle w:val="Compact"/>
              <w:jc w:val="left"/>
            </w:pPr>
            <w:r>
              <w:t xml:space="preserve">Location Description</w:t>
            </w:r>
          </w:p>
        </w:tc>
        <w:tc>
          <w:tcPr/>
          <w:p>
            <w:pPr>
              <w:pStyle w:val="Compact"/>
              <w:jc w:val="left"/>
            </w:pPr>
            <w:r>
              <w:t xml:space="preserve">Coordinates (Approx)</w:t>
            </w:r>
          </w:p>
        </w:tc>
        <w:tc>
          <w:tcPr/>
          <w:p>
            <w:pPr>
              <w:pStyle w:val="Compact"/>
              <w:jc w:val="left"/>
            </w:pPr>
            <w:r>
              <w:t xml:space="preserve">Land Use Context</w:t>
            </w:r>
          </w:p>
        </w:tc>
      </w:tr>
      <w:tr>
        <w:tc>
          <w:tcPr/>
          <w:p>
            <w:pPr>
              <w:pStyle w:val="Compact"/>
              <w:jc w:val="left"/>
            </w:pPr>
            <w:r>
              <w:t xml:space="preserve">S-01</w:t>
            </w:r>
          </w:p>
        </w:tc>
        <w:tc>
          <w:tcPr/>
          <w:p>
            <w:pPr>
              <w:pStyle w:val="Compact"/>
              <w:jc w:val="left"/>
            </w:pPr>
            <w:r>
              <w:t xml:space="preserve">Upstream (Korle Gonno area)</w:t>
            </w:r>
          </w:p>
        </w:tc>
        <w:tc>
          <w:tcPr/>
          <w:p>
            <w:pPr>
              <w:pStyle w:val="Compact"/>
              <w:jc w:val="left"/>
            </w:pPr>
            <w:r>
              <w:t xml:space="preserve">5.55° N, 0.20° W</w:t>
            </w:r>
          </w:p>
        </w:tc>
        <w:tc>
          <w:tcPr/>
          <w:p>
            <w:pPr>
              <w:pStyle w:val="Compact"/>
              <w:jc w:val="left"/>
            </w:pPr>
            <w:r>
              <w:t xml:space="preserve">Residential / Low Impact</w:t>
            </w:r>
          </w:p>
        </w:tc>
      </w:tr>
      <w:tr>
        <w:tc>
          <w:tcPr/>
          <w:p>
            <w:pPr>
              <w:pStyle w:val="Compact"/>
              <w:jc w:val="left"/>
            </w:pPr>
            <w:r>
              <w:t xml:space="preserve">S-02</w:t>
            </w:r>
          </w:p>
        </w:tc>
        <w:tc>
          <w:tcPr/>
          <w:p>
            <w:pPr>
              <w:pStyle w:val="Compact"/>
              <w:jc w:val="left"/>
            </w:pPr>
            <w:r>
              <w:t xml:space="preserve">Midstream (Near Industrial Area)</w:t>
            </w:r>
          </w:p>
        </w:tc>
        <w:tc>
          <w:tcPr/>
          <w:p>
            <w:pPr>
              <w:pStyle w:val="Compact"/>
              <w:jc w:val="left"/>
            </w:pPr>
            <w:r>
              <w:t xml:space="preserve">5.58° N, 0.22° W</w:t>
            </w:r>
          </w:p>
        </w:tc>
        <w:tc>
          <w:tcPr/>
          <w:p>
            <w:pPr>
              <w:pStyle w:val="Compact"/>
              <w:jc w:val="left"/>
            </w:pPr>
            <w:r>
              <w:t xml:space="preserve">Industrial / High Impact</w:t>
            </w:r>
          </w:p>
        </w:tc>
      </w:tr>
      <w:tr>
        <w:tc>
          <w:tcPr/>
          <w:p>
            <w:pPr>
              <w:pStyle w:val="Compact"/>
              <w:jc w:val="left"/>
            </w:pPr>
            <w:r>
              <w:t xml:space="preserve">S-03</w:t>
            </w:r>
          </w:p>
        </w:tc>
        <w:tc>
          <w:tcPr/>
          <w:p>
            <w:pPr>
              <w:pStyle w:val="Compact"/>
              <w:jc w:val="left"/>
            </w:pPr>
            <w:r>
              <w:t xml:space="preserve">Downstream (Near Korle Lagoon)</w:t>
            </w:r>
          </w:p>
        </w:tc>
        <w:tc>
          <w:tcPr/>
          <w:p>
            <w:pPr>
              <w:pStyle w:val="Compact"/>
              <w:jc w:val="left"/>
            </w:pPr>
            <w:r>
              <w:t xml:space="preserve">5.54° N, 0.25° W</w:t>
            </w:r>
          </w:p>
        </w:tc>
        <w:tc>
          <w:tcPr/>
          <w:p>
            <w:pPr>
              <w:pStyle w:val="Compact"/>
              <w:jc w:val="left"/>
            </w:pPr>
            <w:r>
              <w:t xml:space="preserve">Mixed / Discharge Point</w:t>
            </w:r>
          </w:p>
        </w:tc>
      </w:tr>
    </w:tbl>
    <w:bookmarkEnd w:id="22"/>
    <w:bookmarkStart w:id="23" w:name="materials-and-equipment"/>
    <w:p>
      <w:pPr>
        <w:pStyle w:val="Heading2"/>
      </w:pPr>
      <w:r>
        <w:t xml:space="preserve">4. Materials and Equipment</w:t>
      </w:r>
    </w:p>
    <w:p>
      <w:pPr>
        <w:pStyle w:val="FirstParagraph"/>
      </w:pPr>
      <w:r>
        <w:t xml:space="preserve">The Environmental Engineer must ensure the following equipment is calibrated and available prior to field deployment in Accra:</w:t>
      </w:r>
    </w:p>
    <w:p>
      <w:pPr>
        <w:numPr>
          <w:ilvl w:val="0"/>
          <w:numId w:val="1002"/>
        </w:numPr>
        <w:pStyle w:val="Compact"/>
      </w:pPr>
      <w:r>
        <w:rPr>
          <w:bCs/>
          <w:b/>
        </w:rPr>
        <w:t xml:space="preserve">Water Sampling Bottles:</w:t>
      </w:r>
      <w:r>
        <w:t xml:space="preserve"> </w:t>
      </w:r>
      <w:r>
        <w:t xml:space="preserve">High-density polyethylene (HDPE) bottles, pre-cleaned with 10% nitric acid.</w:t>
      </w:r>
    </w:p>
    <w:p>
      <w:pPr>
        <w:numPr>
          <w:ilvl w:val="0"/>
          <w:numId w:val="1002"/>
        </w:numPr>
        <w:pStyle w:val="Compact"/>
      </w:pPr>
      <w:r>
        <w:rPr>
          <w:bCs/>
          <w:b/>
        </w:rPr>
        <w:t xml:space="preserve">Sediment Corer:</w:t>
      </w:r>
      <w:r>
        <w:t xml:space="preserve"> </w:t>
      </w:r>
      <w:r>
        <w:t xml:space="preserve">For collecting bottom sediment samples.</w:t>
      </w:r>
    </w:p>
    <w:p>
      <w:pPr>
        <w:numPr>
          <w:ilvl w:val="0"/>
          <w:numId w:val="1002"/>
        </w:numPr>
        <w:pStyle w:val="Compact"/>
      </w:pPr>
      <w:r>
        <w:rPr>
          <w:bCs/>
          <w:b/>
        </w:rPr>
        <w:t xml:space="preserve">Plankton Nets:</w:t>
      </w:r>
      <w:r>
        <w:t xml:space="preserve"> </w:t>
      </w:r>
      <w:r>
        <w:t xml:space="preserve">Mesh size of 333 micrometers for microplastic collection.</w:t>
      </w:r>
    </w:p>
    <w:p>
      <w:pPr>
        <w:numPr>
          <w:ilvl w:val="0"/>
          <w:numId w:val="1002"/>
        </w:numPr>
        <w:pStyle w:val="Compact"/>
      </w:pPr>
      <w:r>
        <w:rPr>
          <w:bCs/>
          <w:b/>
        </w:rPr>
        <w:t xml:space="preserve">Field Meter:</w:t>
      </w:r>
      <w:r>
        <w:t xml:space="preserve"> </w:t>
      </w:r>
      <w:r>
        <w:t xml:space="preserve">Multi-parameter probe for pH, Dissolved Oxygen (DO), Electrical Conductivity (EC), and Temperature.</w:t>
      </w:r>
    </w:p>
    <w:p>
      <w:pPr>
        <w:numPr>
          <w:ilvl w:val="0"/>
          <w:numId w:val="1002"/>
        </w:numPr>
        <w:pStyle w:val="Compact"/>
      </w:pPr>
      <w:r>
        <w:rPr>
          <w:bCs/>
          <w:b/>
        </w:rPr>
        <w:t xml:space="preserve">GPS Device:</w:t>
      </w:r>
      <w:r>
        <w:t xml:space="preserve"> </w:t>
      </w:r>
      <w:r>
        <w:t xml:space="preserve">For precise location logging.</w:t>
      </w:r>
    </w:p>
    <w:p>
      <w:pPr>
        <w:numPr>
          <w:ilvl w:val="0"/>
          <w:numId w:val="1002"/>
        </w:numPr>
        <w:pStyle w:val="Compact"/>
      </w:pPr>
      <w:r>
        <w:rPr>
          <w:bCs/>
          <w:b/>
        </w:rPr>
        <w:t xml:space="preserve">Personal Protective Equipment (PPE):</w:t>
      </w:r>
      <w:r>
        <w:t xml:space="preserve"> </w:t>
      </w:r>
      <w:r>
        <w:t xml:space="preserve">Nitrile gloves, safety goggles, and waterproof boots.</w:t>
      </w:r>
    </w:p>
    <w:bookmarkEnd w:id="23"/>
    <w:bookmarkStart w:id="28" w:name="experimental-procedure"/>
    <w:p>
      <w:pPr>
        <w:pStyle w:val="Heading2"/>
      </w:pPr>
      <w:r>
        <w:t xml:space="preserve">5. Experimental Procedure</w:t>
      </w:r>
    </w:p>
    <w:bookmarkStart w:id="24" w:name="pre-sampling-preparation"/>
    <w:p>
      <w:pPr>
        <w:pStyle w:val="Heading3"/>
      </w:pPr>
      <w:r>
        <w:t xml:space="preserve">5.1 Pre-Sampling Preparation</w:t>
      </w:r>
    </w:p>
    <w:p>
      <w:pPr>
        <w:pStyle w:val="FirstParagraph"/>
      </w:pPr>
      <w:r>
        <w:t xml:space="preserve">All glassware and plastic containers must be rinsed three times with deionized water and then with the sample water to prevent cross-contamination. The Environmental Engineer must record the weather conditions, as heavy rainfall in Accra can significantly alter runoff and pollutant loads.</w:t>
      </w:r>
    </w:p>
    <w:bookmarkEnd w:id="24"/>
    <w:bookmarkStart w:id="25" w:name="water-sample-collection"/>
    <w:p>
      <w:pPr>
        <w:pStyle w:val="Heading3"/>
      </w:pPr>
      <w:r>
        <w:t xml:space="preserve">5.2 Water Sample Collection</w:t>
      </w:r>
    </w:p>
    <w:p>
      <w:pPr>
        <w:numPr>
          <w:ilvl w:val="0"/>
          <w:numId w:val="1003"/>
        </w:numPr>
        <w:pStyle w:val="Compact"/>
      </w:pPr>
      <w:r>
        <w:t xml:space="preserve">At each site (S-01, S-02, S-03), collect 1 liter of surface water from a depth of 30 cm below the surface.</w:t>
      </w:r>
    </w:p>
    <w:p>
      <w:pPr>
        <w:numPr>
          <w:ilvl w:val="0"/>
          <w:numId w:val="1003"/>
        </w:numPr>
        <w:pStyle w:val="Compact"/>
      </w:pPr>
      <w:r>
        <w:t xml:space="preserve">Immediately measure in-situ parameters (pH, DO, EC, Temperature) using the field meter.</w:t>
      </w:r>
    </w:p>
    <w:p>
      <w:pPr>
        <w:numPr>
          <w:ilvl w:val="0"/>
          <w:numId w:val="1003"/>
        </w:numPr>
        <w:pStyle w:val="Compact"/>
      </w:pPr>
      <w:r>
        <w:t xml:space="preserve">For heavy metal analysis, acidify the sample to pH &lt; 2 using ultrapure nitric acid immediately after collection.</w:t>
      </w:r>
    </w:p>
    <w:p>
      <w:pPr>
        <w:numPr>
          <w:ilvl w:val="0"/>
          <w:numId w:val="1003"/>
        </w:numPr>
        <w:pStyle w:val="Compact"/>
      </w:pPr>
      <w:r>
        <w:t xml:space="preserve">Label all samples with Site ID, Date, Time, and Sampler Name.</w:t>
      </w:r>
    </w:p>
    <w:bookmarkEnd w:id="25"/>
    <w:bookmarkStart w:id="26" w:name="microplastic-collection"/>
    <w:p>
      <w:pPr>
        <w:pStyle w:val="Heading3"/>
      </w:pPr>
      <w:r>
        <w:t xml:space="preserve">5.3 Microplastic Collection</w:t>
      </w:r>
    </w:p>
    <w:p>
      <w:pPr>
        <w:numPr>
          <w:ilvl w:val="0"/>
          <w:numId w:val="1004"/>
        </w:numPr>
        <w:pStyle w:val="Compact"/>
      </w:pPr>
      <w:r>
        <w:t xml:space="preserve">Deploy the plankton net for a duration of 5 minutes or until a volume of 50 liters has been filtered.</w:t>
      </w:r>
    </w:p>
    <w:p>
      <w:pPr>
        <w:numPr>
          <w:ilvl w:val="0"/>
          <w:numId w:val="1004"/>
        </w:numPr>
        <w:pStyle w:val="Compact"/>
      </w:pPr>
      <w:r>
        <w:t xml:space="preserve">Transfer the net contents into a glass jar pre-rinsed with ethanol.</w:t>
      </w:r>
    </w:p>
    <w:p>
      <w:pPr>
        <w:numPr>
          <w:ilvl w:val="0"/>
          <w:numId w:val="1004"/>
        </w:numPr>
        <w:pStyle w:val="Compact"/>
      </w:pPr>
      <w:r>
        <w:t xml:space="preserve">Preserve samples in a dark, cool environment to prevent degradation.</w:t>
      </w:r>
    </w:p>
    <w:bookmarkEnd w:id="26"/>
    <w:bookmarkStart w:id="27" w:name="sediment-sample-collection"/>
    <w:p>
      <w:pPr>
        <w:pStyle w:val="Heading3"/>
      </w:pPr>
      <w:r>
        <w:t xml:space="preserve">5.4 Sediment Sample Collection</w:t>
      </w:r>
    </w:p>
    <w:p>
      <w:pPr>
        <w:numPr>
          <w:ilvl w:val="0"/>
          <w:numId w:val="1005"/>
        </w:numPr>
        <w:pStyle w:val="Compact"/>
      </w:pPr>
      <w:r>
        <w:t xml:space="preserve">Use the sediment corer to extract the top 10 cm of riverbed sediment.</w:t>
      </w:r>
    </w:p>
    <w:p>
      <w:pPr>
        <w:numPr>
          <w:ilvl w:val="0"/>
          <w:numId w:val="1005"/>
        </w:numPr>
        <w:pStyle w:val="Compact"/>
      </w:pPr>
      <w:r>
        <w:t xml:space="preserve">Transfer the sediment into a sterile container.</w:t>
      </w:r>
    </w:p>
    <w:p>
      <w:pPr>
        <w:numPr>
          <w:ilvl w:val="0"/>
          <w:numId w:val="1005"/>
        </w:numPr>
        <w:pStyle w:val="Compact"/>
      </w:pPr>
      <w:r>
        <w:t xml:space="preserve">Sediment samples are critical for analyzing the historical accumulation of heavy metals in the Accra river system.</w:t>
      </w:r>
    </w:p>
    <w:bookmarkEnd w:id="27"/>
    <w:bookmarkEnd w:id="28"/>
    <w:bookmarkStart w:id="29" w:name="laboratory-analysis"/>
    <w:p>
      <w:pPr>
        <w:pStyle w:val="Heading2"/>
      </w:pPr>
      <w:r>
        <w:t xml:space="preserve">6. Laboratory Analysis</w:t>
      </w:r>
    </w:p>
    <w:p>
      <w:pPr>
        <w:pStyle w:val="FirstParagraph"/>
      </w:pPr>
      <w:r>
        <w:t xml:space="preserve">Upon return to the laboratory, the Environmental Engineer will conduct the following analyses:</w:t>
      </w:r>
    </w:p>
    <w:p>
      <w:pPr>
        <w:numPr>
          <w:ilvl w:val="0"/>
          <w:numId w:val="1006"/>
        </w:numPr>
        <w:pStyle w:val="Compact"/>
      </w:pPr>
      <w:r>
        <w:rPr>
          <w:bCs/>
          <w:b/>
        </w:rPr>
        <w:t xml:space="preserve">Heavy Metals:</w:t>
      </w:r>
      <w:r>
        <w:t xml:space="preserve"> </w:t>
      </w:r>
      <w:r>
        <w:t xml:space="preserve">Use Inductively Coupled Plasma Mass Spectrometry (ICP-MS) to quantify Lead (Pb), Cadmium (Cd), and Mercury (Hg).</w:t>
      </w:r>
    </w:p>
    <w:p>
      <w:pPr>
        <w:numPr>
          <w:ilvl w:val="0"/>
          <w:numId w:val="1006"/>
        </w:numPr>
        <w:pStyle w:val="Compact"/>
      </w:pPr>
      <w:r>
        <w:rPr>
          <w:bCs/>
          <w:b/>
        </w:rPr>
        <w:t xml:space="preserve">Microplastics:</w:t>
      </w:r>
      <w:r>
        <w:t xml:space="preserve"> </w:t>
      </w:r>
      <w:r>
        <w:t xml:space="preserve">Perform visual identification under a stereo microscope and confirm polymer type using Fourier Transform Infrared Spectroscopy (FTIR).</w:t>
      </w:r>
    </w:p>
    <w:p>
      <w:pPr>
        <w:numPr>
          <w:ilvl w:val="0"/>
          <w:numId w:val="1006"/>
        </w:numPr>
        <w:pStyle w:val="Compact"/>
      </w:pPr>
      <w:r>
        <w:rPr>
          <w:bCs/>
          <w:b/>
        </w:rPr>
        <w:t xml:space="preserve">Quality Control:</w:t>
      </w:r>
      <w:r>
        <w:t xml:space="preserve"> </w:t>
      </w:r>
      <w:r>
        <w:t xml:space="preserve">Include field blanks and duplicate samples to ensure data integrity.</w:t>
      </w:r>
    </w:p>
    <w:p>
      <w:pPr>
        <w:pStyle w:val="FirstParagraph"/>
      </w:pPr>
      <w:r>
        <w:rPr>
          <w:bCs/>
          <w:b/>
        </w:rPr>
        <w:t xml:space="preserve">Safety Warning:</w:t>
      </w:r>
      <w:r>
        <w:t xml:space="preserve"> </w:t>
      </w:r>
      <w:r>
        <w:t xml:space="preserve">Samples from Accra's industrial zones may contain hazardous pathogens and toxic chemicals. All laboratory personnel must adhere to strict biosafety protocols. Dispose of chemical waste according to Ghana EPA regulations.</w:t>
      </w:r>
    </w:p>
    <w:bookmarkEnd w:id="29"/>
    <w:bookmarkStart w:id="30" w:name="data-analysis-and-reporting"/>
    <w:p>
      <w:pPr>
        <w:pStyle w:val="Heading2"/>
      </w:pPr>
      <w:r>
        <w:t xml:space="preserve">7. Data Analysis and Reporting</w:t>
      </w:r>
    </w:p>
    <w:p>
      <w:pPr>
        <w:pStyle w:val="FirstParagraph"/>
      </w:pPr>
      <w:r>
        <w:t xml:space="preserve">The Environmental Engineer will compare the obtained data against the Ghana Standards Authority (GSA) limits for surface water quality. Statistical analysis will be performed to determine significant differences between the upstream, midstream, and downstream sites. The final report must include:</w:t>
      </w:r>
    </w:p>
    <w:p>
      <w:pPr>
        <w:numPr>
          <w:ilvl w:val="0"/>
          <w:numId w:val="1007"/>
        </w:numPr>
        <w:pStyle w:val="Compact"/>
      </w:pPr>
      <w:r>
        <w:t xml:space="preserve">A summary of pollutant concentrations.</w:t>
      </w:r>
    </w:p>
    <w:p>
      <w:pPr>
        <w:numPr>
          <w:ilvl w:val="0"/>
          <w:numId w:val="1007"/>
        </w:numPr>
        <w:pStyle w:val="Compact"/>
      </w:pPr>
      <w:r>
        <w:t xml:space="preserve">A risk assessment for local communities relying on the river.</w:t>
      </w:r>
    </w:p>
    <w:p>
      <w:pPr>
        <w:numPr>
          <w:ilvl w:val="0"/>
          <w:numId w:val="1007"/>
        </w:numPr>
        <w:pStyle w:val="Compact"/>
      </w:pPr>
      <w:r>
        <w:t xml:space="preserve">Recommendations for wastewater treatment improvements in Accra.</w:t>
      </w:r>
    </w:p>
    <w:bookmarkEnd w:id="30"/>
    <w:bookmarkStart w:id="31" w:name="conclusion"/>
    <w:p>
      <w:pPr>
        <w:pStyle w:val="Heading2"/>
      </w:pPr>
      <w:r>
        <w:t xml:space="preserve">8. Conclusion</w:t>
      </w:r>
    </w:p>
    <w:p>
      <w:pPr>
        <w:pStyle w:val="FirstParagraph"/>
      </w:pPr>
      <w:r>
        <w:t xml:space="preserve">This Experiment Protocol provides a standardized framework for the Environmental Engineer to assess water quality in Ghana Accra. By rigorously following these steps, we ensure that the data collected is scientifically valid and can be used to drive meaningful environmental policy changes in the region.</w:t>
      </w:r>
    </w:p>
    <w:p>
      <w:pPr>
        <w:pStyle w:val="BodyText"/>
      </w:pPr>
      <w:r>
        <w:rPr>
          <w:bCs/>
          <w:b/>
        </w:rPr>
        <w:t xml:space="preserve">Approval:</w:t>
      </w:r>
      <w:r>
        <w:br/>
      </w:r>
      <w:r>
        <w:t xml:space="preserve">___________________________</w:t>
      </w:r>
      <w:r>
        <w:br/>
      </w:r>
      <w:r>
        <w:t xml:space="preserve">Senior Environmental Engineer</w:t>
      </w:r>
      <w:r>
        <w:br/>
      </w:r>
      <w:r>
        <w:t xml:space="preserve">Date: _____________________</w:t>
      </w:r>
    </w:p>
    <w:p>
      <w:pPr>
        <w:pStyle w:val="BodyText"/>
      </w:pPr>
      <w:r>
        <w:t xml:space="preserve">© 2023 Environmental Engineering Division, Accra, Ghana.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 in Accra, Ghana</dc:title>
  <dc:creator/>
  <dc:language>en</dc:language>
  <cp:keywords/>
  <dcterms:created xsi:type="dcterms:W3CDTF">2026-10-10T06:47:55Z</dcterms:created>
  <dcterms:modified xsi:type="dcterms:W3CDTF">2026-10-10T06:47:55Z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