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5b99d0b3719f966998716eeb56bf662e36d80e1"/>
    <w:p>
      <w:pPr>
        <w:pStyle w:val="Heading1"/>
      </w:pPr>
      <w:r>
        <w:t xml:space="preserve">Experiment Protocol: Urban Water Quality Assessment</w:t>
      </w:r>
    </w:p>
    <w:p>
      <w:pPr>
        <w:pStyle w:val="FirstParagraph"/>
      </w:pPr>
      <w:r>
        <w:rPr>
          <w:bCs/>
          <w:b/>
        </w:rPr>
        <w:t xml:space="preserve">Role:</w:t>
      </w:r>
      <w:r>
        <w:t xml:space="preserve"> </w:t>
      </w:r>
      <w:r>
        <w:t xml:space="preserve">Environmental Engineer</w:t>
      </w:r>
    </w:p>
    <w:p>
      <w:pPr>
        <w:pStyle w:val="BodyText"/>
      </w:pPr>
      <w:r>
        <w:rPr>
          <w:bCs/>
          <w:b/>
        </w:rPr>
        <w:t xml:space="preserve">Location:</w:t>
      </w:r>
      <w:r>
        <w:t xml:space="preserve"> </w:t>
      </w:r>
      <w:r>
        <w:t xml:space="preserve">India Bangalore (Bengaluru), Karnataka</w:t>
      </w:r>
    </w:p>
    <w:p>
      <w:pPr>
        <w:pStyle w:val="BodyText"/>
      </w:pPr>
      <w:r>
        <w:rPr>
          <w:bCs/>
          <w:b/>
        </w:rPr>
        <w:t xml:space="preserve">Date:</w:t>
      </w:r>
      <w:r>
        <w:t xml:space="preserve"> </w:t>
      </w:r>
      <w:r>
        <w:t xml:space="preserve">October 26, 2023</w:t>
      </w:r>
    </w:p>
    <w:p>
      <w:pPr>
        <w:pStyle w:val="BodyText"/>
      </w:pPr>
      <w:r>
        <w:rPr>
          <w:bCs/>
          <w:b/>
        </w:rPr>
        <w:t xml:space="preserve">Protocol ID:</w:t>
      </w:r>
      <w:r>
        <w:t xml:space="preserve"> </w:t>
      </w:r>
      <w:r>
        <w:t xml:space="preserve">ENV-BLR-WQ-2023-001</w:t>
      </w:r>
    </w:p>
    <w:bookmarkEnd w:id="20"/>
    <w:bookmarkStart w:id="21" w:name="introduction-and-objective"/>
    <w:p>
      <w:pPr>
        <w:pStyle w:val="Heading2"/>
      </w:pPr>
      <w:r>
        <w:t xml:space="preserve">1. Introduction and Objective</w:t>
      </w:r>
    </w:p>
    <w:p>
      <w:pPr>
        <w:pStyle w:val="FirstParagraph"/>
      </w:pPr>
      <w:r>
        <w:t xml:space="preserve">This document outlines the standard operating procedure for an Environmental Engineer conducting a comprehensive water quality analysis in the urban and peri-urban regions of India Bangalore. As the capital of Karnataka and a major technology hub, Bangalore faces significant environmental challenges, particularly regarding groundwater depletion and surface water contamination in bodies such as the Cauvery River and the Varthur Lake.</w:t>
      </w:r>
    </w:p>
    <w:p>
      <w:pPr>
        <w:pStyle w:val="BodyText"/>
      </w:pPr>
      <w:r>
        <w:t xml:space="preserve">The primary objective of this experiment is to assess the physicochemical and microbiological parameters of water samples collected from designated sites. The data gathered will be used to evaluate compliance with the Central Pollution Control Board (CPCB) standards and the Bureau of Indian Standards (BIS) IS 10500:2012 for drinking water quality.</w:t>
      </w:r>
    </w:p>
    <w:bookmarkEnd w:id="21"/>
    <w:bookmarkStart w:id="22" w:name="scope-and-applicability"/>
    <w:p>
      <w:pPr>
        <w:pStyle w:val="Heading2"/>
      </w:pPr>
      <w:r>
        <w:t xml:space="preserve">2. Scope and Applicability</w:t>
      </w:r>
    </w:p>
    <w:p>
      <w:pPr>
        <w:pStyle w:val="FirstParagraph"/>
      </w:pPr>
      <w:r>
        <w:t xml:space="preserve">This protocol applies to all field sampling and laboratory analysis activities conducted by the Environmental Engineer within the Bangalore Metropolitan Region. It covers the assessment of:</w:t>
      </w:r>
    </w:p>
    <w:p>
      <w:pPr>
        <w:numPr>
          <w:ilvl w:val="0"/>
          <w:numId w:val="1001"/>
        </w:numPr>
        <w:pStyle w:val="Compact"/>
      </w:pPr>
      <w:r>
        <w:t xml:space="preserve">Surface water bodies (Lakes and Rivers).</w:t>
      </w:r>
    </w:p>
    <w:p>
      <w:pPr>
        <w:numPr>
          <w:ilvl w:val="0"/>
          <w:numId w:val="1001"/>
        </w:numPr>
        <w:pStyle w:val="Compact"/>
      </w:pPr>
      <w:r>
        <w:t xml:space="preserve">Groundwater sources (Borewells and Hand pumps).</w:t>
      </w:r>
    </w:p>
    <w:p>
      <w:pPr>
        <w:numPr>
          <w:ilvl w:val="0"/>
          <w:numId w:val="1001"/>
        </w:numPr>
        <w:pStyle w:val="Compact"/>
      </w:pPr>
      <w:r>
        <w:t xml:space="preserve">Industrial effluent discharge points.</w:t>
      </w:r>
    </w:p>
    <w:bookmarkEnd w:id="22"/>
    <w:bookmarkStart w:id="23" w:name="X0456acdd3e0174d6058d4509a8695628f9f0d00"/>
    <w:p>
      <w:pPr>
        <w:pStyle w:val="Heading2"/>
      </w:pPr>
      <w:r>
        <w:t xml:space="preserve">3. Safety and Personal Protective Equipment (PPE)</w:t>
      </w:r>
    </w:p>
    <w:p>
      <w:pPr>
        <w:pStyle w:val="FirstParagraph"/>
      </w:pPr>
      <w:r>
        <w:t xml:space="preserve">Safety is paramount. The Environmental Engineer must adhere to the following safety guidelines before commencing the experiment:</w:t>
      </w:r>
    </w:p>
    <w:p>
      <w:pPr>
        <w:numPr>
          <w:ilvl w:val="0"/>
          <w:numId w:val="1002"/>
        </w:numPr>
        <w:pStyle w:val="Compact"/>
      </w:pPr>
      <w:r>
        <w:rPr>
          <w:bCs/>
          <w:b/>
        </w:rPr>
        <w:t xml:space="preserve">PPE:</w:t>
      </w:r>
      <w:r>
        <w:t xml:space="preserve"> </w:t>
      </w:r>
      <w:r>
        <w:t xml:space="preserve">Wear nitrile gloves, safety goggles, a lab coat, and sturdy boots. If sampling near industrial zones in areas like Peenya, a respirator mask is mandatory.</w:t>
      </w:r>
    </w:p>
    <w:p>
      <w:pPr>
        <w:numPr>
          <w:ilvl w:val="0"/>
          <w:numId w:val="1002"/>
        </w:numPr>
        <w:pStyle w:val="Compact"/>
      </w:pPr>
      <w:r>
        <w:rPr>
          <w:bCs/>
          <w:b/>
        </w:rPr>
        <w:t xml:space="preserve">Field Safety:</w:t>
      </w:r>
      <w:r>
        <w:t xml:space="preserve"> </w:t>
      </w:r>
      <w:r>
        <w:t xml:space="preserve">When sampling near lakes like Ulsoor or Hebbal, ensure no one is working alone due to the risk of unstable banks.</w:t>
      </w:r>
    </w:p>
    <w:p>
      <w:pPr>
        <w:numPr>
          <w:ilvl w:val="0"/>
          <w:numId w:val="1002"/>
        </w:numPr>
        <w:pStyle w:val="Compact"/>
      </w:pPr>
      <w:r>
        <w:rPr>
          <w:bCs/>
          <w:b/>
        </w:rPr>
        <w:t xml:space="preserve">Chemical Handling:</w:t>
      </w:r>
      <w:r>
        <w:t xml:space="preserve"> </w:t>
      </w:r>
      <w:r>
        <w:t xml:space="preserve">Handle reagents such as silver nitrate and sulfuric acid with extreme caution in a well-ventilated fume hood.</w:t>
      </w:r>
    </w:p>
    <w:bookmarkEnd w:id="23"/>
    <w:bookmarkStart w:id="24" w:name="materials-and-equipment"/>
    <w:p>
      <w:pPr>
        <w:pStyle w:val="Heading2"/>
      </w:pPr>
      <w:r>
        <w:t xml:space="preserve">4. Materials and Equipment</w:t>
      </w:r>
    </w:p>
    <w:p>
      <w:pPr>
        <w:pStyle w:val="FirstParagraph"/>
      </w:pPr>
      <w:r>
        <w:t xml:space="preserve">The following equipment is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Sampling Bottles</w:t>
            </w:r>
          </w:p>
        </w:tc>
        <w:tc>
          <w:tcPr/>
          <w:p>
            <w:pPr>
              <w:pStyle w:val="Compact"/>
              <w:jc w:val="left"/>
            </w:pPr>
            <w:r>
              <w:t xml:space="preserve">500ml Amber Glass (for organics), HDPE (for metals)</w:t>
            </w:r>
          </w:p>
        </w:tc>
        <w:tc>
          <w:tcPr/>
          <w:p>
            <w:pPr>
              <w:pStyle w:val="Compact"/>
              <w:jc w:val="left"/>
            </w:pPr>
            <w:r>
              <w:t xml:space="preserve">20</w:t>
            </w:r>
          </w:p>
        </w:tc>
      </w:tr>
      <w:tr>
        <w:tc>
          <w:tcPr/>
          <w:p>
            <w:pPr>
              <w:pStyle w:val="Compact"/>
              <w:jc w:val="left"/>
            </w:pPr>
            <w:r>
              <w:t xml:space="preserve">pH Meter</w:t>
            </w:r>
          </w:p>
        </w:tc>
        <w:tc>
          <w:tcPr/>
          <w:p>
            <w:pPr>
              <w:pStyle w:val="Compact"/>
              <w:jc w:val="left"/>
            </w:pPr>
            <w:r>
              <w:t xml:space="preserve">Calibrated digital meter</w:t>
            </w:r>
          </w:p>
        </w:tc>
        <w:tc>
          <w:tcPr/>
          <w:p>
            <w:pPr>
              <w:pStyle w:val="Compact"/>
              <w:jc w:val="left"/>
            </w:pPr>
            <w:r>
              <w:t xml:space="preserve">1</w:t>
            </w:r>
          </w:p>
        </w:tc>
      </w:tr>
      <w:tr>
        <w:tc>
          <w:tcPr/>
          <w:p>
            <w:pPr>
              <w:pStyle w:val="Compact"/>
              <w:jc w:val="left"/>
            </w:pPr>
            <w:r>
              <w:t xml:space="preserve">Dissolved Oxygen (DO) Meter</w:t>
            </w:r>
          </w:p>
        </w:tc>
        <w:tc>
          <w:tcPr/>
          <w:p>
            <w:pPr>
              <w:pStyle w:val="Compact"/>
              <w:jc w:val="left"/>
            </w:pPr>
            <w:r>
              <w:t xml:space="preserve">Electrochemical sensor</w:t>
            </w:r>
          </w:p>
        </w:tc>
        <w:tc>
          <w:tcPr/>
          <w:p>
            <w:pPr>
              <w:pStyle w:val="Compact"/>
              <w:jc w:val="left"/>
            </w:pPr>
            <w:r>
              <w:t xml:space="preserve">1</w:t>
            </w:r>
          </w:p>
        </w:tc>
      </w:tr>
      <w:tr>
        <w:tc>
          <w:tcPr/>
          <w:p>
            <w:pPr>
              <w:pStyle w:val="Compact"/>
              <w:jc w:val="left"/>
            </w:pPr>
            <w:r>
              <w:t xml:space="preserve">Turbidity Meter</w:t>
            </w:r>
          </w:p>
        </w:tc>
        <w:tc>
          <w:tcPr/>
          <w:p>
            <w:pPr>
              <w:pStyle w:val="Compact"/>
              <w:jc w:val="left"/>
            </w:pPr>
            <w:r>
              <w:t xml:space="preserve">Nephelometric Turbidity Unit (NTU)</w:t>
            </w:r>
          </w:p>
        </w:tc>
        <w:tc>
          <w:tcPr/>
          <w:p>
            <w:pPr>
              <w:pStyle w:val="Compact"/>
              <w:jc w:val="left"/>
            </w:pPr>
            <w:r>
              <w:t xml:space="preserve">1</w:t>
            </w:r>
          </w:p>
        </w:tc>
      </w:tr>
      <w:tr>
        <w:tc>
          <w:tcPr/>
          <w:p>
            <w:pPr>
              <w:pStyle w:val="Compact"/>
              <w:jc w:val="left"/>
            </w:pPr>
            <w:r>
              <w:t xml:space="preserve">Ice Box</w:t>
            </w:r>
          </w:p>
        </w:tc>
        <w:tc>
          <w:tcPr/>
          <w:p>
            <w:pPr>
              <w:pStyle w:val="Compact"/>
              <w:jc w:val="left"/>
            </w:pPr>
            <w:r>
              <w:t xml:space="preserve">Insulated cooler with ice packs</w:t>
            </w:r>
          </w:p>
        </w:tc>
        <w:tc>
          <w:tcPr/>
          <w:p>
            <w:pPr>
              <w:pStyle w:val="Compact"/>
              <w:jc w:val="left"/>
            </w:pPr>
            <w:r>
              <w:t xml:space="preserve">1</w:t>
            </w:r>
          </w:p>
        </w:tc>
      </w:tr>
      <w:tr>
        <w:tc>
          <w:tcPr/>
          <w:p>
            <w:pPr>
              <w:pStyle w:val="Compact"/>
              <w:jc w:val="left"/>
            </w:pPr>
            <w:r>
              <w:t xml:space="preserve">GPS Device</w:t>
            </w:r>
          </w:p>
        </w:tc>
        <w:tc>
          <w:tcPr/>
          <w:p>
            <w:pPr>
              <w:pStyle w:val="Compact"/>
              <w:jc w:val="left"/>
            </w:pPr>
            <w:r>
              <w:t xml:space="preserve">For precise location logging</w:t>
            </w:r>
          </w:p>
        </w:tc>
        <w:tc>
          <w:tcPr/>
          <w:p>
            <w:pPr>
              <w:pStyle w:val="Compact"/>
              <w:jc w:val="left"/>
            </w:pPr>
            <w:r>
              <w:t xml:space="preserve">1</w:t>
            </w:r>
          </w:p>
        </w:tc>
      </w:tr>
    </w:tbl>
    <w:bookmarkEnd w:id="24"/>
    <w:bookmarkStart w:id="28" w:name="experimental-procedure"/>
    <w:p>
      <w:pPr>
        <w:pStyle w:val="Heading2"/>
      </w:pPr>
      <w:r>
        <w:t xml:space="preserve">5. Experimental Procedure</w:t>
      </w:r>
    </w:p>
    <w:bookmarkStart w:id="25" w:name="site-selection-and-preparation"/>
    <w:p>
      <w:pPr>
        <w:pStyle w:val="Heading3"/>
      </w:pPr>
      <w:r>
        <w:t xml:space="preserve">5.1 Site Selection and Preparation</w:t>
      </w:r>
    </w:p>
    <w:p>
      <w:pPr>
        <w:pStyle w:val="FirstParagraph"/>
      </w:pPr>
      <w:r>
        <w:t xml:space="preserve">The Environmental Engineer must select sampling sites based on a stratified random sampling method covering different zones of Bangalore (North, South, East, West, and Central). Prior to sampling, rinse all bottles with the sample water three times to avoid contamination.</w:t>
      </w:r>
    </w:p>
    <w:bookmarkEnd w:id="25"/>
    <w:bookmarkStart w:id="26" w:name="field-sampling-methodology"/>
    <w:p>
      <w:pPr>
        <w:pStyle w:val="Heading3"/>
      </w:pPr>
      <w:r>
        <w:t xml:space="preserve">5.2 Field Sampling Methodology</w:t>
      </w:r>
    </w:p>
    <w:p>
      <w:pPr>
        <w:pStyle w:val="FirstParagraph"/>
      </w:pPr>
      <w:r>
        <w:rPr>
          <w:bCs/>
          <w:b/>
        </w:rPr>
        <w:t xml:space="preserve">Surface Water:</w:t>
      </w:r>
      <w:r>
        <w:t xml:space="preserve"> </w:t>
      </w:r>
      <w:r>
        <w:t xml:space="preserve">Collect samples from a depth of 30 cm below the surface, avoiding the immediate shoreline. For lakes in Bangalore, ensure samples are taken away from direct sewage outfalls unless specifically testing effluent impact.</w:t>
      </w:r>
    </w:p>
    <w:p>
      <w:pPr>
        <w:pStyle w:val="BodyText"/>
      </w:pPr>
      <w:r>
        <w:rPr>
          <w:bCs/>
          <w:b/>
        </w:rPr>
        <w:t xml:space="preserve">Groundwater:</w:t>
      </w:r>
      <w:r>
        <w:t xml:space="preserve"> </w:t>
      </w:r>
      <w:r>
        <w:t xml:space="preserve">For borewells, allow the pump to run for at least 5 minutes to flush out stagnant water before collecting the sample.</w:t>
      </w:r>
    </w:p>
    <w:p>
      <w:pPr>
        <w:pStyle w:val="BodyText"/>
      </w:pPr>
      <w:r>
        <w:rPr>
          <w:bCs/>
          <w:b/>
        </w:rPr>
        <w:t xml:space="preserve">Preservation:</w:t>
      </w:r>
      <w:r>
        <w:t xml:space="preserve"> </w:t>
      </w:r>
      <w:r>
        <w:t xml:space="preserve">Immediately place samples in the ice box. Samples for microbiological analysis must be kept at 4°C and analyzed within 6 hours. Samples for heavy metal analysis must be acidified with nitric acid to a pH less than 2.</w:t>
      </w:r>
    </w:p>
    <w:bookmarkEnd w:id="26"/>
    <w:bookmarkStart w:id="27" w:name="laboratory-analysis"/>
    <w:p>
      <w:pPr>
        <w:pStyle w:val="Heading3"/>
      </w:pPr>
      <w:r>
        <w:t xml:space="preserve">5.3 Laboratory Analysis</w:t>
      </w:r>
    </w:p>
    <w:p>
      <w:pPr>
        <w:pStyle w:val="FirstParagraph"/>
      </w:pPr>
      <w:r>
        <w:t xml:space="preserve">Upon return to the laboratory, the Environmental Engineer will perform the following tests:</w:t>
      </w:r>
    </w:p>
    <w:p>
      <w:pPr>
        <w:numPr>
          <w:ilvl w:val="0"/>
          <w:numId w:val="1003"/>
        </w:numPr>
        <w:pStyle w:val="Compact"/>
      </w:pPr>
      <w:r>
        <w:rPr>
          <w:bCs/>
          <w:b/>
        </w:rPr>
        <w:t xml:space="preserve">pH and Conductivity:</w:t>
      </w:r>
      <w:r>
        <w:t xml:space="preserve"> </w:t>
      </w:r>
      <w:r>
        <w:t xml:space="preserve">Measure immediately using calibrated probes.</w:t>
      </w:r>
    </w:p>
    <w:p>
      <w:pPr>
        <w:numPr>
          <w:ilvl w:val="0"/>
          <w:numId w:val="1003"/>
        </w:numPr>
        <w:pStyle w:val="Compact"/>
      </w:pPr>
      <w:r>
        <w:rPr>
          <w:bCs/>
          <w:b/>
        </w:rPr>
        <w:t xml:space="preserve">Dissolved Oxygen (DO):</w:t>
      </w:r>
      <w:r>
        <w:t xml:space="preserve"> </w:t>
      </w:r>
      <w:r>
        <w:t xml:space="preserve">Use the Winkler method or a digital DO meter.</w:t>
      </w:r>
    </w:p>
    <w:p>
      <w:pPr>
        <w:numPr>
          <w:ilvl w:val="0"/>
          <w:numId w:val="1003"/>
        </w:numPr>
        <w:pStyle w:val="Compact"/>
      </w:pPr>
      <w:r>
        <w:rPr>
          <w:bCs/>
          <w:b/>
        </w:rPr>
        <w:t xml:space="preserve">BOD and COD:</w:t>
      </w:r>
      <w:r>
        <w:t xml:space="preserve"> </w:t>
      </w:r>
      <w:r>
        <w:t xml:space="preserve">Perform Biological Oxygen Demand (BOD) over 5 days and Chemical Oxygen Demand (COD) using the reflux method to assess organic pollution levels.</w:t>
      </w:r>
    </w:p>
    <w:p>
      <w:pPr>
        <w:numPr>
          <w:ilvl w:val="0"/>
          <w:numId w:val="1003"/>
        </w:numPr>
        <w:pStyle w:val="Compact"/>
      </w:pPr>
      <w:r>
        <w:rPr>
          <w:bCs/>
          <w:b/>
        </w:rPr>
        <w:t xml:space="preserve">Heavy Metals:</w:t>
      </w:r>
      <w:r>
        <w:t xml:space="preserve"> </w:t>
      </w:r>
      <w:r>
        <w:t xml:space="preserve">Use Atomic Absorption Spectroscopy (AAS) to detect Lead, Cadmium, and Arsenic, which are common concerns in industrial areas of Bangalore.</w:t>
      </w:r>
    </w:p>
    <w:p>
      <w:pPr>
        <w:numPr>
          <w:ilvl w:val="0"/>
          <w:numId w:val="1003"/>
        </w:numPr>
        <w:pStyle w:val="Compact"/>
      </w:pPr>
      <w:r>
        <w:rPr>
          <w:bCs/>
          <w:b/>
        </w:rPr>
        <w:t xml:space="preserve">Microbiology:</w:t>
      </w:r>
      <w:r>
        <w:t xml:space="preserve"> </w:t>
      </w:r>
      <w:r>
        <w:t xml:space="preserve">Perform the Multiple Tube Fermentation technique to detect Total Coliforms and Fecal Coliforms.</w:t>
      </w:r>
    </w:p>
    <w:bookmarkEnd w:id="27"/>
    <w:bookmarkEnd w:id="28"/>
    <w:bookmarkStart w:id="29" w:name="data-recording-and-quality-control"/>
    <w:p>
      <w:pPr>
        <w:pStyle w:val="Heading2"/>
      </w:pPr>
      <w:r>
        <w:t xml:space="preserve">6. Data Recording and Quality Control</w:t>
      </w:r>
    </w:p>
    <w:p>
      <w:pPr>
        <w:pStyle w:val="FirstParagraph"/>
      </w:pPr>
      <w:r>
        <w:t xml:space="preserve">All data must be recorded in a standardized logbook. The Environmental Engineer must ensure data integrity by:</w:t>
      </w:r>
    </w:p>
    <w:p>
      <w:pPr>
        <w:numPr>
          <w:ilvl w:val="0"/>
          <w:numId w:val="1004"/>
        </w:numPr>
        <w:pStyle w:val="Compact"/>
      </w:pPr>
      <w:r>
        <w:t xml:space="preserve">Running a blank sample for every batch of 10 samples.</w:t>
      </w:r>
    </w:p>
    <w:p>
      <w:pPr>
        <w:numPr>
          <w:ilvl w:val="0"/>
          <w:numId w:val="1004"/>
        </w:numPr>
        <w:pStyle w:val="Compact"/>
      </w:pPr>
      <w:r>
        <w:t xml:space="preserve">Performing duplicate analysis for at least 10% of the samples to check precision.</w:t>
      </w:r>
    </w:p>
    <w:p>
      <w:pPr>
        <w:numPr>
          <w:ilvl w:val="0"/>
          <w:numId w:val="1004"/>
        </w:numPr>
        <w:pStyle w:val="Compact"/>
      </w:pPr>
      <w:r>
        <w:t xml:space="preserve">Calibrating all instruments daily using standard solutions.</w:t>
      </w:r>
    </w:p>
    <w:bookmarkEnd w:id="29"/>
    <w:bookmarkStart w:id="30" w:name="reporting-and-compliance"/>
    <w:p>
      <w:pPr>
        <w:pStyle w:val="Heading2"/>
      </w:pPr>
      <w:r>
        <w:t xml:space="preserve">7. Reporting and Compliance</w:t>
      </w:r>
    </w:p>
    <w:p>
      <w:pPr>
        <w:pStyle w:val="FirstParagraph"/>
      </w:pPr>
      <w:r>
        <w:t xml:space="preserve">The final report must compare the experimental results against the permissible limits set by the Karnataka State Pollution Control Board (KSPCB). If parameters exceed the limits, the Environmental Engineer must recommend immediate remedial actions, such as aeration for lakes or filtration upgrades for groundwater sources.</w:t>
      </w:r>
    </w:p>
    <w:bookmarkEnd w:id="30"/>
    <w:bookmarkStart w:id="31" w:name="conclusion"/>
    <w:p>
      <w:pPr>
        <w:pStyle w:val="Heading2"/>
      </w:pPr>
      <w:r>
        <w:t xml:space="preserve">8. Conclusion</w:t>
      </w:r>
    </w:p>
    <w:p>
      <w:pPr>
        <w:pStyle w:val="FirstParagraph"/>
      </w:pPr>
      <w:r>
        <w:t xml:space="preserve">This experiment protocol provides a rigorous framework for assessing water quality in India Bangalore. By adhering to these steps, the Environmental Engineer ensures that the data collected is accurate, reliable, and actionable for improving the environmental health of the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2026-10-10T03:57:33Z</dcterms:created>
  <dcterms:modified xsi:type="dcterms:W3CDTF">2026-10-10T03:57:33Z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