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p>
    <w:bookmarkStart w:id="20" w:name="X5b99d0b3719f966998716eeb56bf662e36d80e1"/>
    <w:p>
      <w:pPr>
        <w:pStyle w:val="Heading1"/>
      </w:pPr>
      <w:r>
        <w:t xml:space="preserve">Experiment Protocol: Urban Water Quality Assessment</w:t>
      </w:r>
    </w:p>
    <w:p>
      <w:pPr>
        <w:pStyle w:val="FirstParagraph"/>
      </w:pPr>
      <w:r>
        <w:rPr>
          <w:bCs/>
          <w:b/>
        </w:rPr>
        <w:t xml:space="preserve">Prepared For:</w:t>
      </w:r>
      <w:r>
        <w:t xml:space="preserve"> </w:t>
      </w:r>
      <w:r>
        <w:t xml:space="preserve">Environmental Engineer Operations in India Mumbai</w:t>
      </w:r>
    </w:p>
    <w:p>
      <w:pPr>
        <w:pStyle w:val="BodyText"/>
      </w:pPr>
      <w:r>
        <w:rPr>
          <w:bCs/>
          <w:b/>
        </w:rPr>
        <w:t xml:space="preserve">Document ID:</w:t>
      </w:r>
      <w:r>
        <w:t xml:space="preserve"> </w:t>
      </w:r>
      <w:r>
        <w:t xml:space="preserve">EP-MUM-WQ-2023-001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Mumbai Metropolitan Region, Maharashtra, India</w:t>
      </w:r>
    </w:p>
    <w:bookmarkEnd w:id="20"/>
    <w:bookmarkStart w:id="21" w:name="introduction-and-objective"/>
    <w:p>
      <w:pPr>
        <w:pStyle w:val="Heading2"/>
      </w:pPr>
      <w:r>
        <w:t xml:space="preserve">1. Introduction and Objective</w:t>
      </w:r>
    </w:p>
    <w:p>
      <w:pPr>
        <w:pStyle w:val="FirstParagraph"/>
      </w:pPr>
      <w:r>
        <w:t xml:space="preserve">This Experiment Protocol is designed specifically for the Environmental Engineer operating within the unique ecological and urban landscape of India Mumbai. The primary objective of this protocol is to establish a standardized methodology for assessing the physicochemical and microbiological quality of surface water bodies in Mumbai, with a specific focus on the Mithi River and adjacent coastal zones.</w:t>
      </w:r>
    </w:p>
    <w:p>
      <w:pPr>
        <w:pStyle w:val="BodyText"/>
      </w:pPr>
      <w:r>
        <w:t xml:space="preserve">Mumbai faces significant environmental challenges, including high population density, industrial discharge, and monsoon-driven runoff. This protocol aims to provide the Environmental Engineer with a rigorous framework to collect, analyze, and interpret data that will inform remediation strategies and regulatory compliance with the Central Pollution Control Board (CPCB) standards.</w:t>
      </w:r>
    </w:p>
    <w:bookmarkEnd w:id="21"/>
    <w:bookmarkStart w:id="22" w:name="scope-and-applicability"/>
    <w:p>
      <w:pPr>
        <w:pStyle w:val="Heading2"/>
      </w:pPr>
      <w:r>
        <w:t xml:space="preserve">2. Scope and Applicability</w:t>
      </w:r>
    </w:p>
    <w:p>
      <w:pPr>
        <w:pStyle w:val="FirstParagraph"/>
      </w:pPr>
      <w:r>
        <w:t xml:space="preserve">This protocol applies to all field sampling and laboratory analysis activities conducted by the Environmental Engineer in Mumbai. It covers:</w:t>
      </w:r>
    </w:p>
    <w:p>
      <w:pPr>
        <w:numPr>
          <w:ilvl w:val="0"/>
          <w:numId w:val="1001"/>
        </w:numPr>
        <w:pStyle w:val="Compact"/>
      </w:pPr>
      <w:r>
        <w:t xml:space="preserve">Surface water sampling from designated sites along the Mithi River.</w:t>
      </w:r>
    </w:p>
    <w:p>
      <w:pPr>
        <w:numPr>
          <w:ilvl w:val="0"/>
          <w:numId w:val="1001"/>
        </w:numPr>
        <w:pStyle w:val="Compact"/>
      </w:pPr>
      <w:r>
        <w:t xml:space="preserve">Analysis of parameters including pH, Dissolved Oxygen (DO), Biochemical Oxygen Demand (BOD), Chemical Oxygen Demand (COD), Total Suspended Solids (TSS), and fecal coliform counts.</w:t>
      </w:r>
    </w:p>
    <w:p>
      <w:pPr>
        <w:numPr>
          <w:ilvl w:val="0"/>
          <w:numId w:val="1001"/>
        </w:numPr>
        <w:pStyle w:val="Compact"/>
      </w:pPr>
      <w:r>
        <w:t xml:space="preserve">Adherence to safety guidelines relevant to urban Indian environments.</w:t>
      </w:r>
    </w:p>
    <w:bookmarkEnd w:id="22"/>
    <w:bookmarkStart w:id="23" w:name="materials-and-equipment"/>
    <w:p>
      <w:pPr>
        <w:pStyle w:val="Heading2"/>
      </w:pPr>
      <w:r>
        <w:t xml:space="preserve">3. Materials and Equipment</w:t>
      </w:r>
    </w:p>
    <w:p>
      <w:pPr>
        <w:pStyle w:val="FirstParagraph"/>
      </w:pPr>
      <w:r>
        <w:t xml:space="preserve">The Environmental Engineer must ensure the following equipment is calibrated and available prior to field deployment in Mumbai:</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Specification</w:t>
            </w:r>
          </w:p>
        </w:tc>
      </w:tr>
      <w:tr>
        <w:tc>
          <w:tcPr/>
          <w:p>
            <w:pPr>
              <w:pStyle w:val="Compact"/>
              <w:jc w:val="left"/>
            </w:pPr>
            <w:r>
              <w:t xml:space="preserve">Water Sampling Bottles</w:t>
            </w:r>
          </w:p>
        </w:tc>
        <w:tc>
          <w:tcPr/>
          <w:p>
            <w:pPr>
              <w:pStyle w:val="Compact"/>
              <w:jc w:val="left"/>
            </w:pPr>
            <w:r>
              <w:t xml:space="preserve">1-liter amber glass bottles, pre-cleaned with acid wash.</w:t>
            </w:r>
          </w:p>
        </w:tc>
      </w:tr>
      <w:tr>
        <w:tc>
          <w:tcPr/>
          <w:p>
            <w:pPr>
              <w:pStyle w:val="Compact"/>
              <w:jc w:val="left"/>
            </w:pPr>
            <w:r>
              <w:t xml:space="preserve">pH Meter</w:t>
            </w:r>
          </w:p>
        </w:tc>
        <w:tc>
          <w:tcPr/>
          <w:p>
            <w:pPr>
              <w:pStyle w:val="Compact"/>
              <w:jc w:val="left"/>
            </w:pPr>
            <w:r>
              <w:t xml:space="preserve">Portable, calibrated with standard buffers (pH 4, 7, 10).</w:t>
            </w:r>
          </w:p>
        </w:tc>
      </w:tr>
      <w:tr>
        <w:tc>
          <w:tcPr/>
          <w:p>
            <w:pPr>
              <w:pStyle w:val="Compact"/>
              <w:jc w:val="left"/>
            </w:pPr>
            <w:r>
              <w:t xml:space="preserve">Dissolved Oxygen Probe</w:t>
            </w:r>
          </w:p>
        </w:tc>
        <w:tc>
          <w:tcPr/>
          <w:p>
            <w:pPr>
              <w:pStyle w:val="Compact"/>
              <w:jc w:val="left"/>
            </w:pPr>
            <w:r>
              <w:t xml:space="preserve">Membrane-type DO meter.</w:t>
            </w:r>
          </w:p>
        </w:tc>
      </w:tr>
      <w:tr>
        <w:tc>
          <w:tcPr/>
          <w:p>
            <w:pPr>
              <w:pStyle w:val="Compact"/>
              <w:jc w:val="left"/>
            </w:pPr>
            <w:r>
              <w:t xml:space="preserve">Thermometer</w:t>
            </w:r>
          </w:p>
        </w:tc>
        <w:tc>
          <w:tcPr/>
          <w:p>
            <w:pPr>
              <w:pStyle w:val="Compact"/>
              <w:jc w:val="left"/>
            </w:pPr>
            <w:r>
              <w:t xml:space="preserve">Range: 0-50°C, accuracy ±0.1°C.</w:t>
            </w:r>
          </w:p>
        </w:tc>
      </w:tr>
      <w:tr>
        <w:tc>
          <w:tcPr/>
          <w:p>
            <w:pPr>
              <w:pStyle w:val="Compact"/>
              <w:jc w:val="left"/>
            </w:pPr>
            <w:r>
              <w:t xml:space="preserve">GPS Device</w:t>
            </w:r>
          </w:p>
        </w:tc>
        <w:tc>
          <w:tcPr/>
          <w:p>
            <w:pPr>
              <w:pStyle w:val="Compact"/>
              <w:jc w:val="left"/>
            </w:pPr>
            <w:r>
              <w:t xml:space="preserve">For precise location tagging of sampling sites in Mumbai.</w:t>
            </w:r>
          </w:p>
        </w:tc>
      </w:tr>
      <w:tr>
        <w:tc>
          <w:tcPr/>
          <w:p>
            <w:pPr>
              <w:pStyle w:val="Compact"/>
              <w:jc w:val="left"/>
            </w:pPr>
            <w:r>
              <w:t xml:space="preserve">Ice Chest</w:t>
            </w:r>
          </w:p>
        </w:tc>
        <w:tc>
          <w:tcPr/>
          <w:p>
            <w:pPr>
              <w:pStyle w:val="Compact"/>
              <w:jc w:val="left"/>
            </w:pPr>
            <w:r>
              <w:t xml:space="preserve">For sample preservation at 4°C during transport.</w:t>
            </w:r>
          </w:p>
        </w:tc>
      </w:tr>
    </w:tbl>
    <w:bookmarkEnd w:id="23"/>
    <w:bookmarkStart w:id="27" w:name="sampling-procedure"/>
    <w:p>
      <w:pPr>
        <w:pStyle w:val="Heading2"/>
      </w:pPr>
      <w:r>
        <w:t xml:space="preserve">4. Sampling Procedure</w:t>
      </w:r>
    </w:p>
    <w:bookmarkStart w:id="24" w:name="site-selection"/>
    <w:p>
      <w:pPr>
        <w:pStyle w:val="Heading3"/>
      </w:pPr>
      <w:r>
        <w:t xml:space="preserve">4.1 Site Selection</w:t>
      </w:r>
    </w:p>
    <w:p>
      <w:pPr>
        <w:pStyle w:val="FirstParagraph"/>
      </w:pPr>
      <w:r>
        <w:t xml:space="preserve">The Environmental Engineer shall select sampling sites based on upstream and downstream locations relative to major discharge points in Mumbai. Sites should include areas near industrial zones in the western suburbs and residential drains in the eastern suburbs.</w:t>
      </w:r>
    </w:p>
    <w:bookmarkEnd w:id="24"/>
    <w:bookmarkStart w:id="25" w:name="field-measurements"/>
    <w:p>
      <w:pPr>
        <w:pStyle w:val="Heading3"/>
      </w:pPr>
      <w:r>
        <w:t xml:space="preserve">4.2 Field Measurements</w:t>
      </w:r>
    </w:p>
    <w:p>
      <w:pPr>
        <w:pStyle w:val="FirstParagraph"/>
      </w:pPr>
      <w:r>
        <w:t xml:space="preserve">Upon arrival at the site, the Environmental Engineer must record the following in-situ parameters:</w:t>
      </w:r>
    </w:p>
    <w:p>
      <w:pPr>
        <w:numPr>
          <w:ilvl w:val="0"/>
          <w:numId w:val="1002"/>
        </w:numPr>
        <w:pStyle w:val="Compact"/>
      </w:pPr>
      <w:r>
        <w:rPr>
          <w:bCs/>
          <w:b/>
        </w:rPr>
        <w:t xml:space="preserve">Temperature:</w:t>
      </w:r>
      <w:r>
        <w:t xml:space="preserve"> </w:t>
      </w:r>
      <w:r>
        <w:t xml:space="preserve">Measure water temperature at a depth of 30 cm.</w:t>
      </w:r>
    </w:p>
    <w:p>
      <w:pPr>
        <w:numPr>
          <w:ilvl w:val="0"/>
          <w:numId w:val="1002"/>
        </w:numPr>
        <w:pStyle w:val="Compact"/>
      </w:pPr>
      <w:r>
        <w:rPr>
          <w:bCs/>
          <w:b/>
        </w:rPr>
        <w:t xml:space="preserve">pH:</w:t>
      </w:r>
      <w:r>
        <w:t xml:space="preserve"> </w:t>
      </w:r>
      <w:r>
        <w:t xml:space="preserve">Calibrate the pH meter on-site and measure.</w:t>
      </w:r>
    </w:p>
    <w:p>
      <w:pPr>
        <w:numPr>
          <w:ilvl w:val="0"/>
          <w:numId w:val="1002"/>
        </w:numPr>
        <w:pStyle w:val="Compact"/>
      </w:pPr>
      <w:r>
        <w:rPr>
          <w:bCs/>
          <w:b/>
        </w:rPr>
        <w:t xml:space="preserve">Dissolved Oxygen:</w:t>
      </w:r>
      <w:r>
        <w:t xml:space="preserve"> </w:t>
      </w:r>
      <w:r>
        <w:t xml:space="preserve">Use the DO probe to measure oxygen levels.</w:t>
      </w:r>
    </w:p>
    <w:p>
      <w:pPr>
        <w:numPr>
          <w:ilvl w:val="0"/>
          <w:numId w:val="1002"/>
        </w:numPr>
        <w:pStyle w:val="Compact"/>
      </w:pPr>
      <w:r>
        <w:rPr>
          <w:bCs/>
          <w:b/>
        </w:rPr>
        <w:t xml:space="preserve">Conductivity:</w:t>
      </w:r>
      <w:r>
        <w:t xml:space="preserve"> </w:t>
      </w:r>
      <w:r>
        <w:t xml:space="preserve">Measure electrical conductivity to assess salinity and ion content.</w:t>
      </w:r>
    </w:p>
    <w:bookmarkEnd w:id="25"/>
    <w:bookmarkStart w:id="26" w:name="sample-collection"/>
    <w:p>
      <w:pPr>
        <w:pStyle w:val="Heading3"/>
      </w:pPr>
      <w:r>
        <w:t xml:space="preserve">4.3 Sample Collection</w:t>
      </w:r>
    </w:p>
    <w:p>
      <w:pPr>
        <w:pStyle w:val="FirstParagraph"/>
      </w:pPr>
      <w:r>
        <w:t xml:space="preserve">Collect water samples using the following steps:</w:t>
      </w:r>
    </w:p>
    <w:p>
      <w:pPr>
        <w:numPr>
          <w:ilvl w:val="0"/>
          <w:numId w:val="1003"/>
        </w:numPr>
        <w:pStyle w:val="Compact"/>
      </w:pPr>
      <w:r>
        <w:t xml:space="preserve">Rinse sampling bottles three times with the water to be sampled.</w:t>
      </w:r>
    </w:p>
    <w:p>
      <w:pPr>
        <w:numPr>
          <w:ilvl w:val="0"/>
          <w:numId w:val="1003"/>
        </w:numPr>
        <w:pStyle w:val="Compact"/>
      </w:pPr>
      <w:r>
        <w:t xml:space="preserve">Fill bottles to the brim to minimize air space, especially for BOD samples.</w:t>
      </w:r>
    </w:p>
    <w:p>
      <w:pPr>
        <w:numPr>
          <w:ilvl w:val="0"/>
          <w:numId w:val="1003"/>
        </w:numPr>
        <w:pStyle w:val="Compact"/>
      </w:pPr>
      <w:r>
        <w:t xml:space="preserve">Label each bottle with site ID, date, time, and sampler name.</w:t>
      </w:r>
    </w:p>
    <w:p>
      <w:pPr>
        <w:numPr>
          <w:ilvl w:val="0"/>
          <w:numId w:val="1003"/>
        </w:numPr>
        <w:pStyle w:val="Compact"/>
      </w:pPr>
      <w:r>
        <w:t xml:space="preserve">Place samples in the ice chest immediately.</w:t>
      </w:r>
    </w:p>
    <w:p>
      <w:pPr>
        <w:pStyle w:val="FirstParagraph"/>
      </w:pPr>
      <w:r>
        <w:rPr>
          <w:bCs/>
          <w:b/>
        </w:rPr>
        <w:t xml:space="preserve">Note:</w:t>
      </w:r>
      <w:r>
        <w:t xml:space="preserve"> </w:t>
      </w:r>
      <w:r>
        <w:t xml:space="preserve">In Mumbai, monsoon conditions may significantly alter water quality. The Environmental Engineer must note weather conditions and recent rainfall in the field log.</w:t>
      </w:r>
    </w:p>
    <w:bookmarkEnd w:id="26"/>
    <w:bookmarkEnd w:id="27"/>
    <w:bookmarkStart w:id="28" w:name="laboratory-analysis"/>
    <w:p>
      <w:pPr>
        <w:pStyle w:val="Heading2"/>
      </w:pPr>
      <w:r>
        <w:t xml:space="preserve">5. Laboratory Analysis</w:t>
      </w:r>
    </w:p>
    <w:p>
      <w:pPr>
        <w:pStyle w:val="FirstParagraph"/>
      </w:pPr>
      <w:r>
        <w:t xml:space="preserve">All samples must be analyzed within 24 hours of collection. The Environmental Engineer shall oversee the following analyses:</w:t>
      </w:r>
    </w:p>
    <w:p>
      <w:pPr>
        <w:numPr>
          <w:ilvl w:val="0"/>
          <w:numId w:val="1004"/>
        </w:numPr>
        <w:pStyle w:val="Compact"/>
      </w:pPr>
      <w:r>
        <w:rPr>
          <w:bCs/>
          <w:b/>
        </w:rPr>
        <w:t xml:space="preserve">BOD5:</w:t>
      </w:r>
      <w:r>
        <w:t xml:space="preserve"> </w:t>
      </w:r>
      <w:r>
        <w:t xml:space="preserve">Incubate samples at 20°C for 5 days and measure oxygen depletion.</w:t>
      </w:r>
    </w:p>
    <w:p>
      <w:pPr>
        <w:numPr>
          <w:ilvl w:val="0"/>
          <w:numId w:val="1004"/>
        </w:numPr>
        <w:pStyle w:val="Compact"/>
      </w:pPr>
      <w:r>
        <w:rPr>
          <w:bCs/>
          <w:b/>
        </w:rPr>
        <w:t xml:space="preserve">COD:</w:t>
      </w:r>
      <w:r>
        <w:t xml:space="preserve"> </w:t>
      </w:r>
      <w:r>
        <w:t xml:space="preserve">Use the dichromate reflux method to determine organic pollution levels.</w:t>
      </w:r>
    </w:p>
    <w:p>
      <w:pPr>
        <w:numPr>
          <w:ilvl w:val="0"/>
          <w:numId w:val="1004"/>
        </w:numPr>
        <w:pStyle w:val="Compact"/>
      </w:pPr>
      <w:r>
        <w:rPr>
          <w:bCs/>
          <w:b/>
        </w:rPr>
        <w:t xml:space="preserve">TSS:</w:t>
      </w:r>
      <w:r>
        <w:t xml:space="preserve"> </w:t>
      </w:r>
      <w:r>
        <w:t xml:space="preserve">Filter samples through pre-weighed filters, dry at 105°C, and weigh.</w:t>
      </w:r>
    </w:p>
    <w:p>
      <w:pPr>
        <w:numPr>
          <w:ilvl w:val="0"/>
          <w:numId w:val="1004"/>
        </w:numPr>
        <w:pStyle w:val="Compact"/>
      </w:pPr>
      <w:r>
        <w:rPr>
          <w:bCs/>
          <w:b/>
        </w:rPr>
        <w:t xml:space="preserve">Fecal Coliform:</w:t>
      </w:r>
      <w:r>
        <w:t xml:space="preserve"> </w:t>
      </w:r>
      <w:r>
        <w:t xml:space="preserve">Perform membrane filtration or multiple tube fermentation tests.</w:t>
      </w:r>
    </w:p>
    <w:bookmarkEnd w:id="28"/>
    <w:bookmarkStart w:id="29" w:name="data-analysis-and-reporting"/>
    <w:p>
      <w:pPr>
        <w:pStyle w:val="Heading2"/>
      </w:pPr>
      <w:r>
        <w:t xml:space="preserve">6. Data Analysis and Reporting</w:t>
      </w:r>
    </w:p>
    <w:p>
      <w:pPr>
        <w:pStyle w:val="FirstParagraph"/>
      </w:pPr>
      <w:r>
        <w:t xml:space="preserve">The Environmental Engineer must compile all data into a comprehensive report. This report should:</w:t>
      </w:r>
    </w:p>
    <w:p>
      <w:pPr>
        <w:numPr>
          <w:ilvl w:val="0"/>
          <w:numId w:val="1005"/>
        </w:numPr>
        <w:pStyle w:val="Compact"/>
      </w:pPr>
      <w:r>
        <w:t xml:space="preserve">Compare results against CPCB standards for surface water.</w:t>
      </w:r>
    </w:p>
    <w:p>
      <w:pPr>
        <w:numPr>
          <w:ilvl w:val="0"/>
          <w:numId w:val="1005"/>
        </w:numPr>
        <w:pStyle w:val="Compact"/>
      </w:pPr>
      <w:r>
        <w:t xml:space="preserve">Identify trends and hotspots of pollution in Mumbai.</w:t>
      </w:r>
    </w:p>
    <w:p>
      <w:pPr>
        <w:numPr>
          <w:ilvl w:val="0"/>
          <w:numId w:val="1005"/>
        </w:numPr>
        <w:pStyle w:val="Compact"/>
      </w:pPr>
      <w:r>
        <w:t xml:space="preserve">Provide recommendations for mitigation measures.</w:t>
      </w:r>
    </w:p>
    <w:p>
      <w:pPr>
        <w:pStyle w:val="FirstParagraph"/>
      </w:pPr>
      <w:r>
        <w:t xml:space="preserve">Data visualization tools should be used to map pollution levels across the city, aiding in decision-making for urban planning and environmental management.</w:t>
      </w:r>
    </w:p>
    <w:bookmarkEnd w:id="29"/>
    <w:bookmarkStart w:id="30" w:name="health-and-safety"/>
    <w:p>
      <w:pPr>
        <w:pStyle w:val="Heading2"/>
      </w:pPr>
      <w:r>
        <w:t xml:space="preserve">7. Health and Safety</w:t>
      </w:r>
    </w:p>
    <w:p>
      <w:pPr>
        <w:pStyle w:val="FirstParagraph"/>
      </w:pPr>
      <w:r>
        <w:t xml:space="preserve">Given the potential hazards in Mumbai's urban water bodies, the Environmental Engineer must adhere to strict safety protocols:</w:t>
      </w:r>
    </w:p>
    <w:p>
      <w:pPr>
        <w:numPr>
          <w:ilvl w:val="0"/>
          <w:numId w:val="1006"/>
        </w:numPr>
        <w:pStyle w:val="Compact"/>
      </w:pPr>
      <w:r>
        <w:t xml:space="preserve">Wear appropriate personal protective equipment (PPE), including gloves, boots, and masks.</w:t>
      </w:r>
    </w:p>
    <w:p>
      <w:pPr>
        <w:numPr>
          <w:ilvl w:val="0"/>
          <w:numId w:val="1006"/>
        </w:numPr>
        <w:pStyle w:val="Compact"/>
      </w:pPr>
      <w:r>
        <w:t xml:space="preserve">Avoid sampling during heavy monsoon rains due to flood risks.</w:t>
      </w:r>
    </w:p>
    <w:p>
      <w:pPr>
        <w:numPr>
          <w:ilvl w:val="0"/>
          <w:numId w:val="1006"/>
        </w:numPr>
        <w:pStyle w:val="Compact"/>
      </w:pPr>
      <w:r>
        <w:t xml:space="preserve">Ensure proper disposal of chemical reagents and waste samples.</w:t>
      </w:r>
    </w:p>
    <w:bookmarkEnd w:id="30"/>
    <w:bookmarkStart w:id="31" w:name="conclusion"/>
    <w:p>
      <w:pPr>
        <w:pStyle w:val="Heading2"/>
      </w:pPr>
      <w:r>
        <w:t xml:space="preserve">8. Conclusion</w:t>
      </w:r>
    </w:p>
    <w:p>
      <w:pPr>
        <w:pStyle w:val="FirstParagraph"/>
      </w:pPr>
      <w:r>
        <w:t xml:space="preserve">This Experiment Protocol provides a robust framework for the Environmental Engineer to conduct water quality assessments in India Mumbai. By following these guidelines, accurate and reliable data can be generated to support environmental protection efforts and improve the quality of life for Mumbai's residents.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dc:title>
  <dc:creator/>
  <dc:language>en</dc:language>
  <cp:keywords/>
  <dcterms:created xsi:type="dcterms:W3CDTF">2026-10-10T03:56:38Z</dcterms:created>
  <dcterms:modified xsi:type="dcterms:W3CDTF">2026-10-10T03:56:38Z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