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Jakarta</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07468756881d48562d13039976efe8b1a255fd7"/>
    <w:p>
      <w:pPr>
        <w:pStyle w:val="Heading1"/>
      </w:pPr>
      <w:r>
        <w:t xml:space="preserve">Experiment Protocol: Urban Water Quality and Heavy Metal Contamination Analysis</w:t>
      </w:r>
    </w:p>
    <w:p>
      <w:pPr>
        <w:pStyle w:val="FirstParagraph"/>
      </w:pPr>
      <w:r>
        <w:rPr>
          <w:bCs/>
          <w:b/>
        </w:rPr>
        <w:t xml:space="preserve">Location:</w:t>
      </w:r>
      <w:r>
        <w:t xml:space="preserve"> </w:t>
      </w:r>
      <w:r>
        <w:t xml:space="preserve">Indonesia Jakarta (Ciliwung River Basin and Adjacent Canals)</w:t>
      </w:r>
    </w:p>
    <w:p>
      <w:pPr>
        <w:pStyle w:val="BodyText"/>
      </w:pPr>
      <w:r>
        <w:rPr>
          <w:bCs/>
          <w:b/>
        </w:rPr>
        <w:t xml:space="preserve">Lead Role:</w:t>
      </w:r>
      <w:r>
        <w:t xml:space="preserve"> </w:t>
      </w:r>
      <w:r>
        <w:t xml:space="preserve">Environmental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an Environmental Engineer to assess water quality parameters in the urban waterways of Indonesia Jakarta. The primary objective is to quantify the concentration of heavy metals (Lead, Cadmium, Mercury) and biological oxygen demand (BOD) in the Ciliwung River system. This data is critical for evaluating the efficacy of current wastewater treatment infrastructure and compliance with Indonesian Ministry of Environment and Forestry regulations.</w:t>
      </w:r>
    </w:p>
    <w:p>
      <w:pPr>
        <w:pStyle w:val="BodyText"/>
      </w:pPr>
      <w:r>
        <w:t xml:space="preserve">The scope includes sampling from three distinct zones: upstream (industrial influence), midstream (residential density), and downstream (confluence with the Jakarta Bay). The Environmental Engineer must ensure that all methodologies align with international standards while accounting for the specific hydrological and socio-economic conditions of Jakarta.</w:t>
      </w:r>
    </w:p>
    <w:bookmarkEnd w:id="21"/>
    <w:bookmarkStart w:id="22" w:name="safety-and-regulatory-compliance"/>
    <w:p>
      <w:pPr>
        <w:pStyle w:val="Heading2"/>
      </w:pPr>
      <w:r>
        <w:t xml:space="preserve">2. Safety and Regulatory Compliance</w:t>
      </w:r>
    </w:p>
    <w:p>
      <w:pPr>
        <w:pStyle w:val="FirstParagraph"/>
      </w:pPr>
      <w:r>
        <w:t xml:space="preserve">Working in Indonesia Jakarta presents unique environmental challenges, including high humidity, traffic congestion, and potential exposure to untreated sewage. The Environmental Engineer must adhere to the following safety protocols:</w:t>
      </w:r>
    </w:p>
    <w:p>
      <w:pPr>
        <w:numPr>
          <w:ilvl w:val="0"/>
          <w:numId w:val="1001"/>
        </w:numPr>
        <w:pStyle w:val="Compact"/>
      </w:pPr>
      <w:r>
        <w:rPr>
          <w:bCs/>
          <w:b/>
        </w:rPr>
        <w:t xml:space="preserve">Personal Protective Equipment (PPE):</w:t>
      </w:r>
      <w:r>
        <w:t xml:space="preserve"> </w:t>
      </w:r>
      <w:r>
        <w:t xml:space="preserve">Nitrile gloves, safety goggles, waterproof boots, and N95 respirators are mandatory during sampling.</w:t>
      </w:r>
    </w:p>
    <w:p>
      <w:pPr>
        <w:numPr>
          <w:ilvl w:val="0"/>
          <w:numId w:val="1001"/>
        </w:numPr>
        <w:pStyle w:val="Compact"/>
      </w:pPr>
      <w:r>
        <w:rPr>
          <w:bCs/>
          <w:b/>
        </w:rPr>
        <w:t xml:space="preserve">Local Regulations:</w:t>
      </w:r>
      <w:r>
        <w:t xml:space="preserve"> </w:t>
      </w:r>
      <w:r>
        <w:t xml:space="preserve">All activities must comply with Government Regulation No. 22 of 2021 concerning Environmental Protection and Management.</w:t>
      </w:r>
    </w:p>
    <w:p>
      <w:pPr>
        <w:numPr>
          <w:ilvl w:val="0"/>
          <w:numId w:val="1001"/>
        </w:numPr>
        <w:pStyle w:val="Compact"/>
      </w:pPr>
      <w:r>
        <w:rPr>
          <w:bCs/>
          <w:b/>
        </w:rPr>
        <w:t xml:space="preserve">Emergency Procedures:</w:t>
      </w:r>
      <w:r>
        <w:t xml:space="preserve"> </w:t>
      </w:r>
      <w:r>
        <w:t xml:space="preserve">In the event of chemical exposure or flooding, the team must evacuate to the nearest designated safe zone and contact local emergency services (112).</w:t>
      </w:r>
    </w:p>
    <w:p>
      <w:pPr>
        <w:pStyle w:val="FirstParagraph"/>
      </w:pPr>
      <w:r>
        <w:rPr>
          <w:bCs/>
          <w:b/>
        </w:rPr>
        <w:t xml:space="preserve">Warning:</w:t>
      </w:r>
      <w:r>
        <w:t xml:space="preserve"> </w:t>
      </w:r>
      <w:r>
        <w:t xml:space="preserve">The Ciliwung River is known for rapid water level fluctuations during the monsoon season. Sampling should be avoided during heavy rainfall to prevent accidents.</w:t>
      </w:r>
    </w:p>
    <w:bookmarkEnd w:id="22"/>
    <w:bookmarkStart w:id="23" w:name="materials-and-equipment"/>
    <w:p>
      <w:pPr>
        <w:pStyle w:val="Heading2"/>
      </w:pPr>
      <w:r>
        <w:t xml:space="preserve">3. Materials and Equipment</w:t>
      </w:r>
    </w:p>
    <w:p>
      <w:pPr>
        <w:pStyle w:val="FirstParagraph"/>
      </w:pPr>
      <w:r>
        <w:t xml:space="preserve">The Environmental Engineer must prepare the following equipment prior to deployment in Jakarta: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Water Sampling Bottles</w:t>
            </w:r>
          </w:p>
        </w:tc>
        <w:tc>
          <w:tcPr/>
          <w:p>
            <w:pPr>
              <w:pStyle w:val="Compact"/>
              <w:jc w:val="left"/>
            </w:pPr>
            <w:r>
              <w:t xml:space="preserve">500ml HDPE, acid-washed</w:t>
            </w:r>
          </w:p>
        </w:tc>
        <w:tc>
          <w:tcPr/>
          <w:p>
            <w:pPr>
              <w:pStyle w:val="Compact"/>
              <w:jc w:val="left"/>
            </w:pPr>
            <w:r>
              <w:t xml:space="preserve">30</w:t>
            </w:r>
          </w:p>
        </w:tc>
      </w:tr>
      <w:tr>
        <w:tc>
          <w:tcPr/>
          <w:p>
            <w:pPr>
              <w:pStyle w:val="Compact"/>
              <w:jc w:val="left"/>
            </w:pPr>
            <w:r>
              <w:t xml:space="preserve">Portable pH Meter</w:t>
            </w:r>
          </w:p>
        </w:tc>
        <w:tc>
          <w:tcPr/>
          <w:p>
            <w:pPr>
              <w:pStyle w:val="Compact"/>
              <w:jc w:val="left"/>
            </w:pPr>
            <w:r>
              <w:t xml:space="preserve">Calibrated, waterproof</w:t>
            </w:r>
          </w:p>
        </w:tc>
        <w:tc>
          <w:tcPr/>
          <w:p>
            <w:pPr>
              <w:pStyle w:val="Compact"/>
              <w:jc w:val="left"/>
            </w:pPr>
            <w:r>
              <w:t xml:space="preserve">2</w:t>
            </w:r>
          </w:p>
        </w:tc>
      </w:tr>
      <w:tr>
        <w:tc>
          <w:tcPr/>
          <w:p>
            <w:pPr>
              <w:pStyle w:val="Compact"/>
              <w:jc w:val="left"/>
            </w:pPr>
            <w:r>
              <w:t xml:space="preserve">Dissolved Oxygen Probe</w:t>
            </w:r>
          </w:p>
        </w:tc>
        <w:tc>
          <w:tcPr/>
          <w:p>
            <w:pPr>
              <w:pStyle w:val="Compact"/>
              <w:jc w:val="left"/>
            </w:pPr>
            <w:r>
              <w:t xml:space="preserve">Optical sensor</w:t>
            </w:r>
          </w:p>
        </w:tc>
        <w:tc>
          <w:tcPr/>
          <w:p>
            <w:pPr>
              <w:pStyle w:val="Compact"/>
              <w:jc w:val="left"/>
            </w:pPr>
            <w:r>
              <w:t xml:space="preserve">2</w:t>
            </w:r>
          </w:p>
        </w:tc>
      </w:tr>
      <w:tr>
        <w:tc>
          <w:tcPr/>
          <w:p>
            <w:pPr>
              <w:pStyle w:val="Compact"/>
              <w:jc w:val="left"/>
            </w:pPr>
            <w:r>
              <w:t xml:space="preserve">GPS Device</w:t>
            </w:r>
          </w:p>
        </w:tc>
        <w:tc>
          <w:tcPr/>
          <w:p>
            <w:pPr>
              <w:pStyle w:val="Compact"/>
              <w:jc w:val="left"/>
            </w:pPr>
            <w:r>
              <w:t xml:space="preserve">High precision for mapping Jakarta coordinates</w:t>
            </w:r>
          </w:p>
        </w:tc>
        <w:tc>
          <w:tcPr/>
          <w:p>
            <w:pPr>
              <w:pStyle w:val="Compact"/>
              <w:jc w:val="left"/>
            </w:pPr>
            <w:r>
              <w:t xml:space="preserve">1</w:t>
            </w:r>
          </w:p>
        </w:tc>
      </w:tr>
      <w:tr>
        <w:tc>
          <w:tcPr/>
          <w:p>
            <w:pPr>
              <w:pStyle w:val="Compact"/>
              <w:jc w:val="left"/>
            </w:pPr>
            <w:r>
              <w:t xml:space="preserve">Cooler Box</w:t>
            </w:r>
          </w:p>
        </w:tc>
        <w:tc>
          <w:tcPr/>
          <w:p>
            <w:pPr>
              <w:pStyle w:val="Compact"/>
              <w:jc w:val="left"/>
            </w:pPr>
            <w:r>
              <w:t xml:space="preserve">With ice packs for sample preservation</w:t>
            </w:r>
          </w:p>
        </w:tc>
        <w:tc>
          <w:tcPr/>
          <w:p>
            <w:pPr>
              <w:pStyle w:val="Compact"/>
              <w:jc w:val="left"/>
            </w:pPr>
            <w:r>
              <w:t xml:space="preserve">2</w:t>
            </w:r>
          </w:p>
        </w:tc>
      </w:tr>
    </w:tbl>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The Environmental Engineer will select sampling points based on a stratified random sampling method. Points must be located at least 5 meters from the riverbank to avoid edge effects. Coordinates must be recorded using GPS to ensure reproducibility in future studies within Indonesia Jakarta.</w:t>
      </w:r>
    </w:p>
    <w:bookmarkEnd w:id="24"/>
    <w:bookmarkStart w:id="25" w:name="sampling-procedure"/>
    <w:p>
      <w:pPr>
        <w:pStyle w:val="Heading3"/>
      </w:pPr>
      <w:r>
        <w:t xml:space="preserve">4.2 Sampling Procedure</w:t>
      </w:r>
    </w:p>
    <w:p>
      <w:pPr>
        <w:pStyle w:val="FirstParagraph"/>
      </w:pPr>
      <w:r>
        <w:t xml:space="preserve">Sampling will be conducted between 08:00 and 10:00 AM to minimize diurnal variations. The Environmental Engineer must rinse each sampling bottle three times with the river water before collecting the final sample. Samples for heavy metal analysis must be acidified with nitric acid to a pH less than 2 immediately after collection to prevent metal precipitation.</w:t>
      </w:r>
    </w:p>
    <w:bookmarkEnd w:id="25"/>
    <w:bookmarkStart w:id="26" w:name="laboratory-analysis"/>
    <w:p>
      <w:pPr>
        <w:pStyle w:val="Heading3"/>
      </w:pPr>
      <w:r>
        <w:t xml:space="preserve">4.3 Laboratory Analysis</w:t>
      </w:r>
    </w:p>
    <w:p>
      <w:pPr>
        <w:pStyle w:val="FirstParagraph"/>
      </w:pPr>
      <w:r>
        <w:t xml:space="preserve">Upon return to the laboratory, samples will be analyzed using Inductively Coupled Plasma Mass Spectrometry (ICP-MS) for heavy metals. BOD will be measured using the 5-day incubation method at 20°C. All analyses must be performed in triplicate to ensure statistical validity.</w:t>
      </w:r>
    </w:p>
    <w:bookmarkEnd w:id="26"/>
    <w:bookmarkEnd w:id="27"/>
    <w:bookmarkStart w:id="28" w:name="data-management-and-reporting"/>
    <w:p>
      <w:pPr>
        <w:pStyle w:val="Heading2"/>
      </w:pPr>
      <w:r>
        <w:t xml:space="preserve">5. Data Management and Reporting</w:t>
      </w:r>
    </w:p>
    <w:p>
      <w:pPr>
        <w:pStyle w:val="FirstParagraph"/>
      </w:pPr>
      <w:r>
        <w:t xml:space="preserve">The Environmental Engineer is responsible for maintaining a detailed logbook of all field observations, including weather conditions, water color, odor, and visible pollution sources. Data must be entered into a centralized database within 24 hours of collection. The final report will include a comparative analysis against the water quality standards set by the Jakarta Provincial Government.</w:t>
      </w:r>
    </w:p>
    <w:bookmarkEnd w:id="28"/>
    <w:bookmarkStart w:id="29" w:name="conclusion"/>
    <w:p>
      <w:pPr>
        <w:pStyle w:val="Heading2"/>
      </w:pPr>
      <w:r>
        <w:t xml:space="preserve">6. Conclusion</w:t>
      </w:r>
    </w:p>
    <w:p>
      <w:pPr>
        <w:pStyle w:val="FirstParagraph"/>
      </w:pPr>
      <w:r>
        <w:t xml:space="preserve">This Experiment Protocol provides a robust framework for the Environmental Engineer to conduct rigorous water quality assessments in Indonesia Jakarta. By following these procedures, we aim to generate actionable data that can inform policy decisions and improve the environmental health of the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Jakarta Urban Water Quality Assessment</dc:title>
  <dc:creator/>
  <dc:language>en</dc:language>
  <cp:keywords/>
  <dcterms:created xsi:type="dcterms:W3CDTF">2026-10-10T03:57:42Z</dcterms:created>
  <dcterms:modified xsi:type="dcterms:W3CDTF">2026-10-10T03:57:42Z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