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Ambient</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Tehran</w:t>
      </w:r>
    </w:p>
    <w:bookmarkStart w:id="30" w:name="X9f0046bd7d28f59ff912f8993433372be32c088"/>
    <w:p>
      <w:pPr>
        <w:pStyle w:val="Heading1"/>
      </w:pPr>
      <w:r>
        <w:t xml:space="preserve">Experiment Protocol: Ambient Air Quality Assessment in Tehran</w:t>
      </w:r>
    </w:p>
    <w:p>
      <w:pPr>
        <w:pStyle w:val="FirstParagraph"/>
      </w:pPr>
      <w:r>
        <w:rPr>
          <w:bCs/>
          <w:b/>
        </w:rPr>
        <w:t xml:space="preserve">Document ID:</w:t>
      </w:r>
      <w:r>
        <w:t xml:space="preserve"> </w:t>
      </w:r>
      <w:r>
        <w:t xml:space="preserve">EP-TEH-2023-004</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Tehran, Iran (Specifically: Northern vs. Southern Districts)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Environmental Engineer tasked with monitoring and analyzing air pollution levels in Tehran, Iran. Tehran faces significant environmental challenges due to its geographical location in a basin, high population density, and heavy vehicular traffic. The primary objective of this experiment is to quantify the concentration of Particulate Matter (PM2.5 and PM10) and Nitrogen Dioxide (NO2) across selected monitoring stations in Tehran to assess compliance with Iranian National Environmental Standards and World Health Organization (WHO) guidelines.</w:t>
      </w:r>
    </w:p>
    <w:bookmarkEnd w:id="20"/>
    <w:bookmarkStart w:id="21" w:name="scope-and-site-selection"/>
    <w:p>
      <w:pPr>
        <w:pStyle w:val="Heading2"/>
      </w:pPr>
      <w:r>
        <w:t xml:space="preserve">2. Scope and Site Selection</w:t>
      </w:r>
    </w:p>
    <w:p>
      <w:pPr>
        <w:pStyle w:val="FirstParagraph"/>
      </w:pPr>
      <w:r>
        <w:t xml:space="preserve">The scope of this experiment covers a 7-day continuous monitoring period. The Environmental Engineer must select three distinct sampling sites within Tehran to capture the variance in pollution levels caused by topography and urban planning:</w:t>
      </w:r>
    </w:p>
    <w:p>
      <w:pPr>
        <w:numPr>
          <w:ilvl w:val="0"/>
          <w:numId w:val="1001"/>
        </w:numPr>
        <w:pStyle w:val="Compact"/>
      </w:pPr>
      <w:r>
        <w:rPr>
          <w:bCs/>
          <w:b/>
        </w:rPr>
        <w:t xml:space="preserve">Site A (Industrial/Southern):</w:t>
      </w:r>
      <w:r>
        <w:t xml:space="preserve"> </w:t>
      </w:r>
      <w:r>
        <w:t xml:space="preserve">Near the Shahrak-e Gharb or industrial zones in the south, characterized by high traffic and industrial emissions.</w:t>
      </w:r>
    </w:p>
    <w:p>
      <w:pPr>
        <w:numPr>
          <w:ilvl w:val="0"/>
          <w:numId w:val="1001"/>
        </w:numPr>
        <w:pStyle w:val="Compact"/>
      </w:pPr>
      <w:r>
        <w:rPr>
          <w:bCs/>
          <w:b/>
        </w:rPr>
        <w:t xml:space="preserve">Site B (Central/Commercial):</w:t>
      </w:r>
      <w:r>
        <w:t xml:space="preserve"> </w:t>
      </w:r>
      <w:r>
        <w:t xml:space="preserve">Near Valiasr Street or Enghelab Square, representing high vehicular density and commercial activity.</w:t>
      </w:r>
    </w:p>
    <w:p>
      <w:pPr>
        <w:numPr>
          <w:ilvl w:val="0"/>
          <w:numId w:val="1001"/>
        </w:numPr>
        <w:pStyle w:val="Compact"/>
      </w:pPr>
      <w:r>
        <w:rPr>
          <w:bCs/>
          <w:b/>
        </w:rPr>
        <w:t xml:space="preserve">Site C (Residential/Northern):</w:t>
      </w:r>
      <w:r>
        <w:t xml:space="preserve"> </w:t>
      </w:r>
      <w:r>
        <w:t xml:space="preserve">Near Niavaran or Darband, representing areas with higher green cover and elevation, serving as a comparative baseline.</w:t>
      </w:r>
    </w:p>
    <w:bookmarkEnd w:id="21"/>
    <w:bookmarkStart w:id="22" w:name="equipment-and-materials"/>
    <w:p>
      <w:pPr>
        <w:pStyle w:val="Heading2"/>
      </w:pPr>
      <w:r>
        <w:t xml:space="preserve">3. Equipment and Materials</w:t>
      </w:r>
    </w:p>
    <w:p>
      <w:pPr>
        <w:pStyle w:val="FirstParagraph"/>
      </w:pPr>
      <w:r>
        <w:t xml:space="preserve">The Environmental Engineer must ensure the following calibrated equipment is available and functional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Air Sampler</w:t>
            </w:r>
          </w:p>
        </w:tc>
        <w:tc>
          <w:tcPr/>
          <w:p>
            <w:pPr>
              <w:pStyle w:val="Compact"/>
              <w:jc w:val="left"/>
            </w:pPr>
            <w:r>
              <w:t xml:space="preserve">Flow rate adjustable between 1.0 - 1.7 m³/min</w:t>
            </w:r>
          </w:p>
        </w:tc>
        <w:tc>
          <w:tcPr/>
          <w:p>
            <w:pPr>
              <w:pStyle w:val="Compact"/>
              <w:jc w:val="left"/>
            </w:pPr>
            <w:r>
              <w:t xml:space="preserve">3 Units</w:t>
            </w:r>
          </w:p>
        </w:tc>
      </w:tr>
      <w:tr>
        <w:tc>
          <w:tcPr/>
          <w:p>
            <w:pPr>
              <w:pStyle w:val="Compact"/>
              <w:jc w:val="left"/>
            </w:pPr>
            <w:r>
              <w:t xml:space="preserve">PM2.5 and PM10 Inlet Separators</w:t>
            </w:r>
          </w:p>
        </w:tc>
        <w:tc>
          <w:tcPr/>
          <w:p>
            <w:pPr>
              <w:pStyle w:val="Compact"/>
              <w:jc w:val="left"/>
            </w:pPr>
            <w:r>
              <w:t xml:space="preserve">ISO 10103 compliant</w:t>
            </w:r>
          </w:p>
        </w:tc>
        <w:tc>
          <w:tcPr/>
          <w:p>
            <w:pPr>
              <w:pStyle w:val="Compact"/>
              <w:jc w:val="left"/>
            </w:pPr>
            <w:r>
              <w:t xml:space="preserve">6 Sets</w:t>
            </w:r>
          </w:p>
        </w:tc>
      </w:tr>
      <w:tr>
        <w:tc>
          <w:tcPr/>
          <w:p>
            <w:pPr>
              <w:pStyle w:val="Compact"/>
              <w:jc w:val="left"/>
            </w:pPr>
            <w:r>
              <w:t xml:space="preserve">NO2 Chemiluminescence Analyzer</w:t>
            </w:r>
          </w:p>
        </w:tc>
        <w:tc>
          <w:tcPr/>
          <w:p>
            <w:pPr>
              <w:pStyle w:val="Compact"/>
              <w:jc w:val="left"/>
            </w:pPr>
            <w:r>
              <w:t xml:space="preserve">Range: 0-500 ppb</w:t>
            </w:r>
          </w:p>
        </w:tc>
        <w:tc>
          <w:tcPr/>
          <w:p>
            <w:pPr>
              <w:pStyle w:val="Compact"/>
              <w:jc w:val="left"/>
            </w:pPr>
            <w:r>
              <w:t xml:space="preserve">3 Units</w:t>
            </w:r>
          </w:p>
        </w:tc>
      </w:tr>
      <w:tr>
        <w:tc>
          <w:tcPr/>
          <w:p>
            <w:pPr>
              <w:pStyle w:val="Compact"/>
              <w:jc w:val="left"/>
            </w:pPr>
            <w:r>
              <w:t xml:space="preserve">Weather Station</w:t>
            </w:r>
          </w:p>
        </w:tc>
        <w:tc>
          <w:tcPr/>
          <w:p>
            <w:pPr>
              <w:pStyle w:val="Compact"/>
              <w:jc w:val="left"/>
            </w:pPr>
            <w:r>
              <w:t xml:space="preserve">Measures Temp, Humidity, Wind Speed/Direction</w:t>
            </w:r>
          </w:p>
        </w:tc>
        <w:tc>
          <w:tcPr/>
          <w:p>
            <w:pPr>
              <w:pStyle w:val="Compact"/>
              <w:jc w:val="left"/>
            </w:pPr>
            <w:r>
              <w:t xml:space="preserve">3 Units</w:t>
            </w:r>
          </w:p>
        </w:tc>
      </w:tr>
      <w:tr>
        <w:tc>
          <w:tcPr/>
          <w:p>
            <w:pPr>
              <w:pStyle w:val="Compact"/>
              <w:jc w:val="left"/>
            </w:pPr>
            <w:r>
              <w:t xml:space="preserve">Pre-weighed Quartz Fiber Filters</w:t>
            </w:r>
          </w:p>
        </w:tc>
        <w:tc>
          <w:tcPr/>
          <w:p>
            <w:pPr>
              <w:pStyle w:val="Compact"/>
              <w:jc w:val="left"/>
            </w:pPr>
            <w:r>
              <w:t xml:space="preserve">47mm diameter</w:t>
            </w:r>
          </w:p>
        </w:tc>
        <w:tc>
          <w:tcPr/>
          <w:p>
            <w:pPr>
              <w:pStyle w:val="Compact"/>
              <w:jc w:val="left"/>
            </w:pPr>
            <w:r>
              <w:t xml:space="preserve">50 Units</w:t>
            </w:r>
          </w:p>
        </w:tc>
      </w:tr>
      <w:tr>
        <w:tc>
          <w:tcPr/>
          <w:p>
            <w:pPr>
              <w:pStyle w:val="Compact"/>
              <w:jc w:val="left"/>
            </w:pPr>
            <w:r>
              <w:t xml:space="preserve">Desiccator</w:t>
            </w:r>
          </w:p>
        </w:tc>
        <w:tc>
          <w:tcPr/>
          <w:p>
            <w:pPr>
              <w:pStyle w:val="Compact"/>
              <w:jc w:val="left"/>
            </w:pPr>
            <w:r>
              <w:t xml:space="preserve">For filter conditioning</w:t>
            </w:r>
          </w:p>
        </w:tc>
        <w:tc>
          <w:tcPr/>
          <w:p>
            <w:pPr>
              <w:pStyle w:val="Compact"/>
              <w:jc w:val="left"/>
            </w:pPr>
            <w:r>
              <w:t xml:space="preserve">1 Unit</w:t>
            </w:r>
          </w:p>
        </w:tc>
      </w:tr>
    </w:tbl>
    <w:bookmarkEnd w:id="22"/>
    <w:bookmarkStart w:id="23" w:name="safety-and-regulatory-compliance"/>
    <w:p>
      <w:pPr>
        <w:pStyle w:val="Heading2"/>
      </w:pPr>
      <w:r>
        <w:t xml:space="preserve">4. Safety and Regulatory Compliance</w:t>
      </w:r>
    </w:p>
    <w:p>
      <w:pPr>
        <w:pStyle w:val="FirstParagraph"/>
      </w:pPr>
      <w:r>
        <w:rPr>
          <w:bCs/>
          <w:b/>
        </w:rPr>
        <w:t xml:space="preserve">Important:</w:t>
      </w:r>
      <w:r>
        <w:t xml:space="preserve"> </w:t>
      </w:r>
      <w:r>
        <w:t xml:space="preserve">The Environmental Engineer must adhere to the safety regulations set by the Department of Environment (DOE) of Iran. Personal Protective Equipment (PPE) including N95 masks, gloves, and safety goggles is mandatory when handling filters and operating equipment in high-pollution zones.</w:t>
      </w:r>
    </w:p>
    <w:p>
      <w:pPr>
        <w:pStyle w:val="BodyText"/>
      </w:pPr>
      <w:r>
        <w:t xml:space="preserve">All data collection must align with the "National Ambient Air Quality Standards" of Iran. The engineer is responsible for obtaining necessary permits from local municipal authorities in Tehran before installing equipment on public property.</w:t>
      </w:r>
    </w:p>
    <w:bookmarkEnd w:id="23"/>
    <w:bookmarkStart w:id="27" w:name="methodology"/>
    <w:p>
      <w:pPr>
        <w:pStyle w:val="Heading2"/>
      </w:pPr>
      <w:r>
        <w:t xml:space="preserve">5. Methodology</w:t>
      </w:r>
    </w:p>
    <w:bookmarkStart w:id="24" w:name="pre-experiment-calibration"/>
    <w:p>
      <w:pPr>
        <w:pStyle w:val="Heading3"/>
      </w:pPr>
      <w:r>
        <w:t xml:space="preserve">5.1. Pre-Experiment Calibration</w:t>
      </w:r>
    </w:p>
    <w:p>
      <w:pPr>
        <w:pStyle w:val="FirstParagraph"/>
      </w:pPr>
      <w:r>
        <w:t xml:space="preserve">Prior to deployment, the Environmental Engineer must calibrate all flow meters using a primary standard bubble burette. The NO2 analyzers must be zeroed using zero-air and spanned using a certified calibration gas cylinder. Filters must be conditioned in a desiccator at 25°C ± 1°C and 50% ± 5% relative humidity for at least 48 hours before weighing.</w:t>
      </w:r>
    </w:p>
    <w:bookmarkEnd w:id="24"/>
    <w:bookmarkStart w:id="25" w:name="sampling-procedure"/>
    <w:p>
      <w:pPr>
        <w:pStyle w:val="Heading3"/>
      </w:pPr>
      <w:r>
        <w:t xml:space="preserve">5.2. Sampling Procedure</w:t>
      </w:r>
    </w:p>
    <w:p>
      <w:pPr>
        <w:pStyle w:val="FirstParagraph"/>
      </w:pPr>
      <w:r>
        <w:t xml:space="preserve">The experiment will run continuously for 168 hours (7 days). The procedure is as follows:</w:t>
      </w:r>
    </w:p>
    <w:p>
      <w:pPr>
        <w:numPr>
          <w:ilvl w:val="0"/>
          <w:numId w:val="1002"/>
        </w:numPr>
        <w:pStyle w:val="Compact"/>
      </w:pPr>
      <w:r>
        <w:rPr>
          <w:bCs/>
          <w:b/>
        </w:rPr>
        <w:t xml:space="preserve">Installation:</w:t>
      </w:r>
      <w:r>
        <w:t xml:space="preserve"> </w:t>
      </w:r>
      <w:r>
        <w:t xml:space="preserve">Install samplers at a height of 3 to 10 meters above ground level, ensuring at least 3 meters of clearance from any building or obstruction to ensure representative airflow.</w:t>
      </w:r>
    </w:p>
    <w:p>
      <w:pPr>
        <w:numPr>
          <w:ilvl w:val="0"/>
          <w:numId w:val="1002"/>
        </w:numPr>
        <w:pStyle w:val="Compact"/>
      </w:pPr>
      <w:r>
        <w:rPr>
          <w:bCs/>
          <w:b/>
        </w:rPr>
        <w:t xml:space="preserve">Filter Loading:</w:t>
      </w:r>
      <w:r>
        <w:t xml:space="preserve"> </w:t>
      </w:r>
      <w:r>
        <w:t xml:space="preserve">Carefully load pre-weighed quartz fiber filters into the holders using forceps to avoid contamination. Record the initial weight of each filter.</w:t>
      </w:r>
    </w:p>
    <w:p>
      <w:pPr>
        <w:numPr>
          <w:ilvl w:val="0"/>
          <w:numId w:val="1002"/>
        </w:numPr>
        <w:pStyle w:val="Compact"/>
      </w:pPr>
      <w:r>
        <w:rPr>
          <w:bCs/>
          <w:b/>
        </w:rPr>
        <w:t xml:space="preserve">Operation:</w:t>
      </w:r>
      <w:r>
        <w:t xml:space="preserve"> </w:t>
      </w:r>
      <w:r>
        <w:t xml:space="preserve">Set the High-Volume Samplers to a constant flow rate of 1.133 m³/min. Start the NO2 analyzers and ensure data logging is active.</w:t>
      </w:r>
    </w:p>
    <w:p>
      <w:pPr>
        <w:numPr>
          <w:ilvl w:val="0"/>
          <w:numId w:val="1002"/>
        </w:numPr>
        <w:pStyle w:val="Compact"/>
      </w:pPr>
      <w:r>
        <w:rPr>
          <w:bCs/>
          <w:b/>
        </w:rPr>
        <w:t xml:space="preserve">Weather Monitoring:</w:t>
      </w:r>
      <w:r>
        <w:t xml:space="preserve"> </w:t>
      </w:r>
      <w:r>
        <w:t xml:space="preserve">Record meteorological data every hour. In Tehran, temperature inversions are common; the engineer must note any inversion events as they significantly impact pollutant accumulation.</w:t>
      </w:r>
    </w:p>
    <w:bookmarkEnd w:id="25"/>
    <w:bookmarkStart w:id="26" w:name="post-sampling-handling"/>
    <w:p>
      <w:pPr>
        <w:pStyle w:val="Heading3"/>
      </w:pPr>
      <w:r>
        <w:t xml:space="preserve">5.3. Post-Sampling Handling</w:t>
      </w:r>
    </w:p>
    <w:p>
      <w:pPr>
        <w:pStyle w:val="FirstParagraph"/>
      </w:pPr>
      <w:r>
        <w:t xml:space="preserve">After the sampling period, the Environmental Engineer must retrieve the filters immediately. Filters must be handled with clean forceps, placed in petri dishes, and returned to the desiccator for 48 hours to re-equilibrate to the same temperature and humidity conditions as pre-weighing.</w:t>
      </w:r>
    </w:p>
    <w:bookmarkEnd w:id="26"/>
    <w:bookmarkEnd w:id="27"/>
    <w:bookmarkStart w:id="28" w:name="data-analysis"/>
    <w:p>
      <w:pPr>
        <w:pStyle w:val="Heading2"/>
      </w:pPr>
      <w:r>
        <w:t xml:space="preserve">6. Data Analysis</w:t>
      </w:r>
    </w:p>
    <w:p>
      <w:pPr>
        <w:pStyle w:val="FirstParagraph"/>
      </w:pPr>
      <w:r>
        <w:t xml:space="preserve">The Environmental Engineer will calculate the mass concentration of particulate matter using the following formula:</w:t>
      </w:r>
    </w:p>
    <w:p>
      <w:pPr>
        <w:pStyle w:val="BodyText"/>
      </w:pPr>
      <w:r>
        <w:t xml:space="preserve">C = (W2 - W1) / V</w:t>
      </w:r>
    </w:p>
    <w:p>
      <w:pPr>
        <w:pStyle w:val="BodyText"/>
      </w:pPr>
      <w:r>
        <w:t xml:space="preserve">Where:</w:t>
      </w:r>
    </w:p>
    <w:p>
      <w:pPr>
        <w:numPr>
          <w:ilvl w:val="0"/>
          <w:numId w:val="1003"/>
        </w:numPr>
        <w:pStyle w:val="Compact"/>
      </w:pPr>
      <w:r>
        <w:rPr>
          <w:bCs/>
          <w:b/>
        </w:rPr>
        <w:t xml:space="preserve">C</w:t>
      </w:r>
      <w:r>
        <w:t xml:space="preserve"> </w:t>
      </w:r>
      <w:r>
        <w:t xml:space="preserve">= Concentration of PM (mg/m³)</w:t>
      </w:r>
    </w:p>
    <w:p>
      <w:pPr>
        <w:numPr>
          <w:ilvl w:val="0"/>
          <w:numId w:val="1003"/>
        </w:numPr>
        <w:pStyle w:val="Compact"/>
      </w:pPr>
      <w:r>
        <w:rPr>
          <w:bCs/>
          <w:b/>
        </w:rPr>
        <w:t xml:space="preserve">W2</w:t>
      </w:r>
      <w:r>
        <w:t xml:space="preserve"> </w:t>
      </w:r>
      <w:r>
        <w:t xml:space="preserve">= Final weight of the filter (mg)</w:t>
      </w:r>
    </w:p>
    <w:p>
      <w:pPr>
        <w:numPr>
          <w:ilvl w:val="0"/>
          <w:numId w:val="1003"/>
        </w:numPr>
        <w:pStyle w:val="Compact"/>
      </w:pPr>
      <w:r>
        <w:rPr>
          <w:bCs/>
          <w:b/>
        </w:rPr>
        <w:t xml:space="preserve">W1</w:t>
      </w:r>
      <w:r>
        <w:t xml:space="preserve"> </w:t>
      </w:r>
      <w:r>
        <w:t xml:space="preserve">= Initial weight of the filter (mg)</w:t>
      </w:r>
    </w:p>
    <w:p>
      <w:pPr>
        <w:numPr>
          <w:ilvl w:val="0"/>
          <w:numId w:val="1003"/>
        </w:numPr>
        <w:pStyle w:val="Compact"/>
      </w:pPr>
      <w:r>
        <w:rPr>
          <w:bCs/>
          <w:b/>
        </w:rPr>
        <w:t xml:space="preserve">V</w:t>
      </w:r>
      <w:r>
        <w:t xml:space="preserve"> </w:t>
      </w:r>
      <w:r>
        <w:t xml:space="preserve">= Total volume of air sampled (m³)</w:t>
      </w:r>
    </w:p>
    <w:p>
      <w:pPr>
        <w:pStyle w:val="FirstParagraph"/>
      </w:pPr>
      <w:r>
        <w:t xml:space="preserve">The results for NO2 will be averaged over 24-hour periods. The engineer must compare these findings against the Tehran Air Quality Index (AQI) thresholds. Special attention should be paid to the correlation between wind direction (often bringing dust from the Dasht-e Kavir desert) and PM10 spikes.</w:t>
      </w:r>
    </w:p>
    <w:bookmarkEnd w:id="28"/>
    <w:bookmarkStart w:id="29" w:name="reporting-and-deliverables"/>
    <w:p>
      <w:pPr>
        <w:pStyle w:val="Heading2"/>
      </w:pPr>
      <w:r>
        <w:t xml:space="preserve">7. Reporting and Deliverables</w:t>
      </w:r>
    </w:p>
    <w:p>
      <w:pPr>
        <w:pStyle w:val="FirstParagraph"/>
      </w:pPr>
      <w:r>
        <w:t xml:space="preserve">The final report must include:</w:t>
      </w:r>
    </w:p>
    <w:p>
      <w:pPr>
        <w:numPr>
          <w:ilvl w:val="0"/>
          <w:numId w:val="1004"/>
        </w:numPr>
        <w:pStyle w:val="Compact"/>
      </w:pPr>
      <w:r>
        <w:t xml:space="preserve">A detailed map of sampling locations in Tehran.</w:t>
      </w:r>
    </w:p>
    <w:p>
      <w:pPr>
        <w:numPr>
          <w:ilvl w:val="0"/>
          <w:numId w:val="1004"/>
        </w:numPr>
        <w:pStyle w:val="Compact"/>
      </w:pPr>
      <w:r>
        <w:t xml:space="preserve">Raw data logs for flow rates, weights, and gas concentrations.</w:t>
      </w:r>
    </w:p>
    <w:p>
      <w:pPr>
        <w:numPr>
          <w:ilvl w:val="0"/>
          <w:numId w:val="1004"/>
        </w:numPr>
        <w:pStyle w:val="Compact"/>
      </w:pPr>
      <w:r>
        <w:t xml:space="preserve">Statistical analysis comparing Site A, B, and C.</w:t>
      </w:r>
    </w:p>
    <w:p>
      <w:pPr>
        <w:numPr>
          <w:ilvl w:val="0"/>
          <w:numId w:val="1004"/>
        </w:numPr>
        <w:pStyle w:val="Compact"/>
      </w:pPr>
      <w:r>
        <w:t xml:space="preserve">Recommendations for mitigation strategies based on the specific pollution sources identified (e.g., traffic vs. industrial vs. natural dust).</w:t>
      </w:r>
    </w:p>
    <w:p>
      <w:pPr>
        <w:pStyle w:val="FirstParagraph"/>
      </w:pPr>
      <w:r>
        <w:t xml:space="preserve">This protocol ensures a rigorous, scientific approach to understanding the environmental health of Tehran, providing actionable data for policymakers and the public.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Ambient Air Quality Assessment in Tehran</dc:title>
  <dc:creator/>
  <dc:language>en</dc:language>
  <cp:keywords/>
  <dcterms:created xsi:type="dcterms:W3CDTF">2026-10-10T02:12:34Z</dcterms:created>
  <dcterms:modified xsi:type="dcterms:W3CDTF">2026-10-10T02:12:34Z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