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Iraq</w:t>
      </w:r>
      <w:r>
        <w:t xml:space="preserve"> </w:t>
      </w:r>
      <w:r>
        <w:t xml:space="preserve">Baghdad</w:t>
      </w:r>
    </w:p>
    <w:bookmarkStart w:id="31" w:name="X2d2344aab508401957e80775ec91522fa265f0d"/>
    <w:p>
      <w:pPr>
        <w:pStyle w:val="Heading1"/>
      </w:pPr>
      <w:r>
        <w:t xml:space="preserve">Experiment Protocol: Assessment of Heavy Metal Contamination in the Tigris River</w:t>
      </w:r>
    </w:p>
    <w:p>
      <w:pPr>
        <w:pStyle w:val="FirstParagraph"/>
      </w:pPr>
      <w:r>
        <w:rPr>
          <w:bCs/>
          <w:b/>
        </w:rPr>
        <w:t xml:space="preserve">Project Title:</w:t>
      </w:r>
      <w:r>
        <w:t xml:space="preserve"> </w:t>
      </w:r>
      <w:r>
        <w:t xml:space="preserve">Hydrochemical Analysis and Heavy Metal Load Assessment in the Tigris River Basin</w:t>
      </w:r>
    </w:p>
    <w:p>
      <w:pPr>
        <w:pStyle w:val="BodyText"/>
      </w:pPr>
      <w:r>
        <w:rPr>
          <w:bCs/>
          <w:b/>
        </w:rPr>
        <w:t xml:space="preserve">Location:</w:t>
      </w:r>
      <w:r>
        <w:t xml:space="preserve"> </w:t>
      </w:r>
      <w:r>
        <w:t xml:space="preserve">Iraq Baghdad, specifically the Al-Mansour and Al-Karkh districts along the riverbank.</w:t>
      </w:r>
    </w:p>
    <w:p>
      <w:pPr>
        <w:pStyle w:val="BodyText"/>
      </w:pPr>
      <w:r>
        <w:rPr>
          <w:bCs/>
          <w:b/>
        </w:rPr>
        <w:t xml:space="preserve">Role:</w:t>
      </w:r>
      <w:r>
        <w:t xml:space="preserve"> </w:t>
      </w:r>
      <w:r>
        <w:t xml:space="preserve">Lead 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procedures required for the collection, preservation, and analysis of water samples from the Tigris River in Iraq Baghdad. As an Environmental Engineer operating in this region, the primary objective is to evaluate the extent of heavy metal contamination (specifically Lead, Cadmium, Mercury, and Chromium) resulting from industrial effluents and untreated municipal wastewater.</w:t>
      </w:r>
    </w:p>
    <w:p>
      <w:pPr>
        <w:pStyle w:val="BodyText"/>
      </w:pPr>
      <w:r>
        <w:t xml:space="preserve">The rapid urbanization and industrial activity in Iraq Baghdad have placed immense pressure on the Tigris River, which serves as the primary source of drinking water for millions of residents. This protocol ensures that data collected is scientifically valid, reproducible, and compliant with the Iraqi Ministry of Environment standards. The findings will be used to propose remediation strategies and improve water treatment protocols.</w:t>
      </w:r>
    </w:p>
    <w:bookmarkEnd w:id="20"/>
    <w:bookmarkStart w:id="21" w:name="scope-and-site-description"/>
    <w:p>
      <w:pPr>
        <w:pStyle w:val="Heading2"/>
      </w:pPr>
      <w:r>
        <w:t xml:space="preserve">2. Scope and Site Description</w:t>
      </w:r>
    </w:p>
    <w:p>
      <w:pPr>
        <w:pStyle w:val="FirstParagraph"/>
      </w:pPr>
      <w:r>
        <w:t xml:space="preserve">The scope of this experiment covers three distinct sampling stations located in Iraq Baghdad:</w:t>
      </w:r>
    </w:p>
    <w:p>
      <w:pPr>
        <w:numPr>
          <w:ilvl w:val="0"/>
          <w:numId w:val="1001"/>
        </w:numPr>
        <w:pStyle w:val="Compact"/>
      </w:pPr>
      <w:r>
        <w:rPr>
          <w:bCs/>
          <w:b/>
        </w:rPr>
        <w:t xml:space="preserve">Station A (Upstream):</w:t>
      </w:r>
      <w:r>
        <w:t xml:space="preserve"> </w:t>
      </w:r>
      <w:r>
        <w:t xml:space="preserve">Al-Mansour District (Control Site).</w:t>
      </w:r>
    </w:p>
    <w:p>
      <w:pPr>
        <w:numPr>
          <w:ilvl w:val="0"/>
          <w:numId w:val="1001"/>
        </w:numPr>
        <w:pStyle w:val="Compact"/>
      </w:pPr>
      <w:r>
        <w:rPr>
          <w:bCs/>
          <w:b/>
        </w:rPr>
        <w:t xml:space="preserve">Station B (Midstream):</w:t>
      </w:r>
      <w:r>
        <w:t xml:space="preserve"> </w:t>
      </w:r>
      <w:r>
        <w:t xml:space="preserve">Near the Al-Shorja industrial zone (High Impact Site).</w:t>
      </w:r>
    </w:p>
    <w:p>
      <w:pPr>
        <w:numPr>
          <w:ilvl w:val="0"/>
          <w:numId w:val="1001"/>
        </w:numPr>
        <w:pStyle w:val="Compact"/>
      </w:pPr>
      <w:r>
        <w:rPr>
          <w:bCs/>
          <w:b/>
        </w:rPr>
        <w:t xml:space="preserve">Station C (Downstream):</w:t>
      </w:r>
      <w:r>
        <w:t xml:space="preserve"> </w:t>
      </w:r>
      <w:r>
        <w:t xml:space="preserve">Al-Karkh District, near the main water intake facility.</w:t>
      </w:r>
    </w:p>
    <w:p>
      <w:pPr>
        <w:pStyle w:val="FirstParagraph"/>
      </w:pPr>
      <w:r>
        <w:t xml:space="preserve">The Environmental Engineer must account for the specific climatic conditions of Iraq Baghdad, including high ambient temperatures and potential dust storms, which can affect sample integrity and equipment performance.</w:t>
      </w:r>
    </w:p>
    <w:bookmarkEnd w:id="21"/>
    <w:bookmarkStart w:id="22" w:name="safety-and-risk-assessment"/>
    <w:p>
      <w:pPr>
        <w:pStyle w:val="Heading2"/>
      </w:pPr>
      <w:r>
        <w:t xml:space="preserve">3. Safety and Risk Assessment</w:t>
      </w:r>
    </w:p>
    <w:p>
      <w:pPr>
        <w:pStyle w:val="FirstParagraph"/>
      </w:pPr>
      <w:r>
        <w:rPr>
          <w:bCs/>
          <w:b/>
        </w:rPr>
        <w:t xml:space="preserve">CRITICAL SAFETY NOTICE:</w:t>
      </w:r>
      <w:r>
        <w:t xml:space="preserve"> </w:t>
      </w:r>
      <w:r>
        <w:t xml:space="preserve">Fieldwork in Iraq Baghdad requires strict adherence to safety protocols due to potential security risks and hazardous environmental conditions.</w:t>
      </w:r>
    </w:p>
    <w:p>
      <w:pPr>
        <w:pStyle w:val="BodyText"/>
      </w:pPr>
      <w:r>
        <w:t xml:space="preserve">Before commencing the experiment, the Environmental Engineer must conduct a site-specific risk assessment. Personal Protective Equipment (PPE) is mandatory and includes:</w:t>
      </w:r>
    </w:p>
    <w:p>
      <w:pPr>
        <w:numPr>
          <w:ilvl w:val="0"/>
          <w:numId w:val="1002"/>
        </w:numPr>
        <w:pStyle w:val="Compact"/>
      </w:pPr>
      <w:r>
        <w:t xml:space="preserve">Chemical-resistant gloves and goggles.</w:t>
      </w:r>
    </w:p>
    <w:p>
      <w:pPr>
        <w:numPr>
          <w:ilvl w:val="0"/>
          <w:numId w:val="1002"/>
        </w:numPr>
        <w:pStyle w:val="Compact"/>
      </w:pPr>
      <w:r>
        <w:t xml:space="preserve">High-visibility vests and steel-toed boots.</w:t>
      </w:r>
    </w:p>
    <w:p>
      <w:pPr>
        <w:numPr>
          <w:ilvl w:val="0"/>
          <w:numId w:val="1002"/>
        </w:numPr>
        <w:pStyle w:val="Compact"/>
      </w:pPr>
      <w:r>
        <w:t xml:space="preserve">Respiratory protection (N95 masks) due to high particulate matter in the air.</w:t>
      </w:r>
    </w:p>
    <w:p>
      <w:pPr>
        <w:numPr>
          <w:ilvl w:val="0"/>
          <w:numId w:val="1002"/>
        </w:numPr>
        <w:pStyle w:val="Compact"/>
      </w:pPr>
      <w:r>
        <w:t xml:space="preserve">Hydration packs to prevent heatstroke during sampling in the Iraqi summer.</w:t>
      </w:r>
    </w:p>
    <w:p>
      <w:pPr>
        <w:pStyle w:val="FirstParagraph"/>
      </w:pPr>
      <w:r>
        <w:t xml:space="preserve">Furthermore, the team must coordinate with local authorities in Iraq Baghdad to ensure safe access to riverbanks and to avoid restricted zones.</w:t>
      </w:r>
    </w:p>
    <w:bookmarkEnd w:id="22"/>
    <w:bookmarkStart w:id="23" w:name="materials-and-equipment"/>
    <w:p>
      <w:pPr>
        <w:pStyle w:val="Heading2"/>
      </w:pPr>
      <w:r>
        <w:t xml:space="preserve">4. Materials and Equipment</w:t>
      </w:r>
    </w:p>
    <w:p>
      <w:pPr>
        <w:pStyle w:val="FirstParagraph"/>
      </w:pPr>
      <w:r>
        <w:t xml:space="preserve">The following equipment must be calibrated and verified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500ml HDPE, acid-washed</w:t>
            </w:r>
          </w:p>
        </w:tc>
        <w:tc>
          <w:tcPr/>
          <w:p>
            <w:pPr>
              <w:pStyle w:val="Compact"/>
              <w:jc w:val="left"/>
            </w:pPr>
            <w:r>
              <w:t xml:space="preserve">30</w:t>
            </w:r>
          </w:p>
        </w:tc>
      </w:tr>
      <w:tr>
        <w:tc>
          <w:tcPr/>
          <w:p>
            <w:pPr>
              <w:pStyle w:val="Compact"/>
              <w:jc w:val="left"/>
            </w:pPr>
            <w:r>
              <w:t xml:space="preserve">Portable Multiparameter Probe</w:t>
            </w:r>
          </w:p>
        </w:tc>
        <w:tc>
          <w:tcPr/>
          <w:p>
            <w:pPr>
              <w:pStyle w:val="Compact"/>
              <w:jc w:val="left"/>
            </w:pPr>
            <w:r>
              <w:t xml:space="preserve">Measures pH, DO, EC, TDS, Temperature</w:t>
            </w:r>
          </w:p>
        </w:tc>
        <w:tc>
          <w:tcPr/>
          <w:p>
            <w:pPr>
              <w:pStyle w:val="Compact"/>
              <w:jc w:val="left"/>
            </w:pPr>
            <w:r>
              <w:t xml:space="preserve">2</w:t>
            </w:r>
          </w:p>
        </w:tc>
      </w:tr>
      <w:tr>
        <w:tc>
          <w:tcPr/>
          <w:p>
            <w:pPr>
              <w:pStyle w:val="Compact"/>
              <w:jc w:val="left"/>
            </w:pPr>
            <w:r>
              <w:t xml:space="preserve">Ice Chests</w:t>
            </w:r>
          </w:p>
        </w:tc>
        <w:tc>
          <w:tcPr/>
          <w:p>
            <w:pPr>
              <w:pStyle w:val="Compact"/>
              <w:jc w:val="left"/>
            </w:pPr>
            <w:r>
              <w:t xml:space="preserve">Insulated, with gel packs</w:t>
            </w:r>
          </w:p>
        </w:tc>
        <w:tc>
          <w:tcPr/>
          <w:p>
            <w:pPr>
              <w:pStyle w:val="Compact"/>
              <w:jc w:val="left"/>
            </w:pPr>
            <w:r>
              <w:t xml:space="preserve">2</w:t>
            </w:r>
          </w:p>
        </w:tc>
      </w:tr>
      <w:tr>
        <w:tc>
          <w:tcPr/>
          <w:p>
            <w:pPr>
              <w:pStyle w:val="Compact"/>
              <w:jc w:val="left"/>
            </w:pPr>
            <w:r>
              <w:t xml:space="preserve">GPS Unit</w:t>
            </w:r>
          </w:p>
        </w:tc>
        <w:tc>
          <w:tcPr/>
          <w:p>
            <w:pPr>
              <w:pStyle w:val="Compact"/>
              <w:jc w:val="left"/>
            </w:pPr>
            <w:r>
              <w:t xml:space="preserve">High precision for geotagging</w:t>
            </w:r>
          </w:p>
        </w:tc>
        <w:tc>
          <w:tcPr/>
          <w:p>
            <w:pPr>
              <w:pStyle w:val="Compact"/>
              <w:jc w:val="left"/>
            </w:pPr>
            <w:r>
              <w:t xml:space="preserve">1</w:t>
            </w:r>
          </w:p>
        </w:tc>
      </w:tr>
      <w:tr>
        <w:tc>
          <w:tcPr/>
          <w:p>
            <w:pPr>
              <w:pStyle w:val="Compact"/>
              <w:jc w:val="left"/>
            </w:pPr>
            <w:r>
              <w:t xml:space="preserve">Preservatives</w:t>
            </w:r>
          </w:p>
        </w:tc>
        <w:tc>
          <w:tcPr/>
          <w:p>
            <w:pPr>
              <w:pStyle w:val="Compact"/>
              <w:jc w:val="left"/>
            </w:pPr>
            <w:r>
              <w:t xml:space="preserve">Concentrated Nitric Acid (HNO3)</w:t>
            </w:r>
          </w:p>
        </w:tc>
        <w:tc>
          <w:tcPr/>
          <w:p>
            <w:pPr>
              <w:pStyle w:val="Compact"/>
              <w:jc w:val="left"/>
            </w:pPr>
            <w:r>
              <w:t xml:space="preserve">1 Liter</w:t>
            </w:r>
          </w:p>
        </w:tc>
      </w:tr>
    </w:tbl>
    <w:bookmarkEnd w:id="23"/>
    <w:bookmarkStart w:id="27" w:name="methodology"/>
    <w:p>
      <w:pPr>
        <w:pStyle w:val="Heading2"/>
      </w:pPr>
      <w:r>
        <w:t xml:space="preserve">5. Methodology</w:t>
      </w:r>
    </w:p>
    <w:bookmarkStart w:id="24" w:name="pre-sampling-preparation"/>
    <w:p>
      <w:pPr>
        <w:pStyle w:val="Heading3"/>
      </w:pPr>
      <w:r>
        <w:t xml:space="preserve">5.1 Pre-Sampling Preparation</w:t>
      </w:r>
    </w:p>
    <w:p>
      <w:pPr>
        <w:pStyle w:val="FirstParagraph"/>
      </w:pPr>
      <w:r>
        <w:t xml:space="preserve">The Environmental Engineer must rinse all sampling bottles with river water three times before collecting the final sample to minimize contamination. All glassware and plastic containers must be acid-washed using 10% nitric acid and rinsed with deionized water.</w:t>
      </w:r>
    </w:p>
    <w:bookmarkEnd w:id="24"/>
    <w:bookmarkStart w:id="25" w:name="field-sampling-procedure"/>
    <w:p>
      <w:pPr>
        <w:pStyle w:val="Heading3"/>
      </w:pPr>
      <w:r>
        <w:t xml:space="preserve">5.2 Field Sampling Procedure</w:t>
      </w:r>
    </w:p>
    <w:p>
      <w:pPr>
        <w:pStyle w:val="FirstParagraph"/>
      </w:pPr>
      <w:r>
        <w:t xml:space="preserve">Sampling will be conducted at a depth of 0.5 meters below the surface at each station in Iraq Baghdad. The procedure is as follows:</w:t>
      </w:r>
    </w:p>
    <w:p>
      <w:pPr>
        <w:numPr>
          <w:ilvl w:val="0"/>
          <w:numId w:val="1003"/>
        </w:numPr>
        <w:pStyle w:val="Compact"/>
      </w:pPr>
      <w:r>
        <w:t xml:space="preserve">Record the GPS coordinates, date, time, and weather conditions.</w:t>
      </w:r>
    </w:p>
    <w:p>
      <w:pPr>
        <w:numPr>
          <w:ilvl w:val="0"/>
          <w:numId w:val="1003"/>
        </w:numPr>
        <w:pStyle w:val="Compact"/>
      </w:pPr>
      <w:r>
        <w:t xml:space="preserve">Measure in-situ parameters (pH, Dissolved Oxygen, Electrical Conductivity, Temperature) using the portable probe.</w:t>
      </w:r>
    </w:p>
    <w:p>
      <w:pPr>
        <w:numPr>
          <w:ilvl w:val="0"/>
          <w:numId w:val="1003"/>
        </w:numPr>
        <w:pStyle w:val="Compact"/>
      </w:pPr>
      <w:r>
        <w:t xml:space="preserve">Collect three replicate samples for heavy metal analysis at each station.</w:t>
      </w:r>
    </w:p>
    <w:p>
      <w:pPr>
        <w:numPr>
          <w:ilvl w:val="0"/>
          <w:numId w:val="1003"/>
        </w:numPr>
        <w:pStyle w:val="Compact"/>
      </w:pPr>
      <w:r>
        <w:t xml:space="preserve">Immediately add concentrated Nitric Acid (HNO3) to the metal samples to lower the pH below 2. This step is crucial to prevent metal precipitation and adsorption onto bottle walls.</w:t>
      </w:r>
    </w:p>
    <w:p>
      <w:pPr>
        <w:numPr>
          <w:ilvl w:val="0"/>
          <w:numId w:val="1003"/>
        </w:numPr>
        <w:pStyle w:val="Compact"/>
      </w:pPr>
      <w:r>
        <w:t xml:space="preserve">Label samples clearly with Station ID, Date, and Sample Type.</w:t>
      </w:r>
    </w:p>
    <w:p>
      <w:pPr>
        <w:numPr>
          <w:ilvl w:val="0"/>
          <w:numId w:val="1003"/>
        </w:numPr>
        <w:pStyle w:val="Compact"/>
      </w:pPr>
      <w:r>
        <w:t xml:space="preserve">Place samples in ice chests to maintain a temperature of 4°C during transport to the laboratory.</w:t>
      </w:r>
    </w:p>
    <w:bookmarkEnd w:id="25"/>
    <w:bookmarkStart w:id="26" w:name="laboratory-analysis"/>
    <w:p>
      <w:pPr>
        <w:pStyle w:val="Heading3"/>
      </w:pPr>
      <w:r>
        <w:t xml:space="preserve">5.3 Laboratory Analysis</w:t>
      </w:r>
    </w:p>
    <w:p>
      <w:pPr>
        <w:pStyle w:val="FirstParagraph"/>
      </w:pPr>
      <w:r>
        <w:t xml:space="preserve">Upon arrival at the accredited laboratory in Iraq Baghdad, samples must be processed within 24 hours. Heavy metal concentrations will be determined using Inductively Coupled Plasma Mass Spectrometry (ICP-MS). Quality control measures include the analysis of blanks, duplicates, and certified reference materials to ensure accuracy.</w:t>
      </w:r>
    </w:p>
    <w:bookmarkEnd w:id="26"/>
    <w:bookmarkEnd w:id="27"/>
    <w:bookmarkStart w:id="28" w:name="data-analysis-and-reporting"/>
    <w:p>
      <w:pPr>
        <w:pStyle w:val="Heading2"/>
      </w:pPr>
      <w:r>
        <w:t xml:space="preserve">6. Data Analysis and Reporting</w:t>
      </w:r>
    </w:p>
    <w:p>
      <w:pPr>
        <w:pStyle w:val="FirstParagraph"/>
      </w:pPr>
      <w:r>
        <w:t xml:space="preserve">The Environmental Engineer will analyze the data to compare heavy metal concentrations against the Iraqi National Standards for Drinking Water and the World Health Organization (WHO) guidelines. Statistical analysis will be performed to identify significant differences between the upstream control site and the downstream industrial sites.</w:t>
      </w:r>
    </w:p>
    <w:p>
      <w:pPr>
        <w:pStyle w:val="BodyText"/>
      </w:pPr>
      <w:r>
        <w:t xml:space="preserve">The final report will include:</w:t>
      </w:r>
    </w:p>
    <w:p>
      <w:pPr>
        <w:numPr>
          <w:ilvl w:val="0"/>
          <w:numId w:val="1004"/>
        </w:numPr>
        <w:pStyle w:val="Compact"/>
      </w:pPr>
      <w:r>
        <w:t xml:space="preserve">Maps of contamination hotspots in Iraq Baghdad.</w:t>
      </w:r>
    </w:p>
    <w:p>
      <w:pPr>
        <w:numPr>
          <w:ilvl w:val="0"/>
          <w:numId w:val="1004"/>
        </w:numPr>
        <w:pStyle w:val="Compact"/>
      </w:pPr>
      <w:r>
        <w:t xml:space="preserve">Correlation between industrial discharge points and metal concentrations.</w:t>
      </w:r>
    </w:p>
    <w:p>
      <w:pPr>
        <w:numPr>
          <w:ilvl w:val="0"/>
          <w:numId w:val="1004"/>
        </w:numPr>
        <w:pStyle w:val="Compact"/>
      </w:pPr>
      <w:r>
        <w:t xml:space="preserve">Recommendations for wastewater treatment upgrades.</w:t>
      </w:r>
    </w:p>
    <w:p>
      <w:pPr>
        <w:numPr>
          <w:ilvl w:val="0"/>
          <w:numId w:val="1004"/>
        </w:numPr>
        <w:pStyle w:val="Compact"/>
      </w:pPr>
      <w:r>
        <w:t xml:space="preserve">Public health risk assessments.</w:t>
      </w:r>
    </w:p>
    <w:bookmarkEnd w:id="28"/>
    <w:bookmarkStart w:id="29" w:name="waste-management"/>
    <w:p>
      <w:pPr>
        <w:pStyle w:val="Heading2"/>
      </w:pPr>
      <w:r>
        <w:t xml:space="preserve">7. Waste Management</w:t>
      </w:r>
    </w:p>
    <w:p>
      <w:pPr>
        <w:pStyle w:val="FirstParagraph"/>
      </w:pPr>
      <w:r>
        <w:t xml:space="preserve">All chemical waste generated during this experiment, including acid-washed rinse water and unused preservatives, must be collected in designated hazardous waste containers. These must be disposed of according to the regulations set by the Ministry of Environment in Iraq Baghdad to prevent further environmental degradation.</w:t>
      </w:r>
    </w:p>
    <w:bookmarkEnd w:id="29"/>
    <w:bookmarkStart w:id="30" w:name="conclusion"/>
    <w:p>
      <w:pPr>
        <w:pStyle w:val="Heading2"/>
      </w:pPr>
      <w:r>
        <w:t xml:space="preserve">8. Conclusion</w:t>
      </w:r>
    </w:p>
    <w:p>
      <w:pPr>
        <w:pStyle w:val="FirstParagraph"/>
      </w:pPr>
      <w:r>
        <w:t xml:space="preserve">This Experiment Protocol provides a robust framework for the Environmental Engineer to assess water quality in the Tigris River. By adhering to these strict guidelines, we ensure that the data collected accurately reflects the environmental reality of Iraq Baghdad, facilitating informed decision-making for sustainable water resource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Iraq Baghdad</dc:title>
  <dc:creator/>
  <dc:language>en</dc:language>
  <cp:keywords/>
  <dcterms:created xsi:type="dcterms:W3CDTF">2026-10-10T02:26:33Z</dcterms:created>
  <dcterms:modified xsi:type="dcterms:W3CDTF">2026-10-10T02:26:33Z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