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Water</w:t>
      </w:r>
      <w:r>
        <w:t xml:space="preserve"> </w:t>
      </w:r>
      <w:r>
        <w:t xml:space="preserve">Quality</w:t>
      </w:r>
      <w:r>
        <w:t xml:space="preserve"> </w:t>
      </w:r>
      <w:r>
        <w:t xml:space="preserve">Assessment</w:t>
      </w:r>
    </w:p>
    <w:bookmarkStart w:id="30" w:name="X5b99d0b3719f966998716eeb56bf662e36d80e1"/>
    <w:p>
      <w:pPr>
        <w:pStyle w:val="Heading1"/>
      </w:pPr>
      <w:r>
        <w:t xml:space="preserve">Experiment Protocol: Urban Water Quality Assessment</w:t>
      </w:r>
    </w:p>
    <w:p>
      <w:pPr>
        <w:pStyle w:val="FirstParagraph"/>
      </w:pPr>
      <w:r>
        <w:rPr>
          <w:bCs/>
          <w:b/>
        </w:rPr>
        <w:t xml:space="preserve">Project Title:</w:t>
      </w:r>
      <w:r>
        <w:t xml:space="preserve"> </w:t>
      </w:r>
      <w:r>
        <w:t xml:space="preserve">Assessment of Microplastic and Heavy Metal Contamination in Urban Runoff Systems</w:t>
      </w:r>
    </w:p>
    <w:p>
      <w:pPr>
        <w:pStyle w:val="BodyText"/>
      </w:pPr>
      <w:r>
        <w:rPr>
          <w:bCs/>
          <w:b/>
        </w:rPr>
        <w:t xml:space="preserve">Location:</w:t>
      </w:r>
      <w:r>
        <w:t xml:space="preserve"> </w:t>
      </w:r>
      <w:r>
        <w:t xml:space="preserve">Israel Tel Aviv, Coastal Zone and Wadi HaArava Catchment</w:t>
      </w:r>
    </w:p>
    <w:p>
      <w:pPr>
        <w:pStyle w:val="BodyText"/>
      </w:pPr>
      <w:r>
        <w:rPr>
          <w:bCs/>
          <w:b/>
        </w:rPr>
        <w:t xml:space="preserve">Lead Role:</w:t>
      </w:r>
      <w:r>
        <w:t xml:space="preserve"> </w:t>
      </w:r>
      <w:r>
        <w:t xml:space="preserve">Environmental Engineer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the collection, analysis, and reporting of water quality data within the metropolitan area of Israel Tel Aviv. As an Environmental Engineer, the primary objective is to evaluate the efficacy of current stormwater management infrastructure in mitigating pollutant loads entering the Mediterranean Sea.</w:t>
      </w:r>
    </w:p>
    <w:p>
      <w:pPr>
        <w:pStyle w:val="BodyText"/>
      </w:pPr>
      <w:r>
        <w:t xml:space="preserve">Tel Aviv, being a high-density coastal city with limited natural drainage basins, presents unique challenges regarding urban runoff. This study focuses specifically on the concentration of microplastics and heavy metals (Lead, Cadmium, and Zinc) in runoff water during simulated rainfall events and natural precipitation. The data gathered will inform future infrastructure upgrades and regulatory compliance with Israeli Ministry of Environmental Protection standards.</w:t>
      </w:r>
    </w:p>
    <w:bookmarkEnd w:id="20"/>
    <w:bookmarkStart w:id="21" w:name="scope-and-study-area"/>
    <w:p>
      <w:pPr>
        <w:pStyle w:val="Heading2"/>
      </w:pPr>
      <w:r>
        <w:t xml:space="preserve">2. Scope and Study Area</w:t>
      </w:r>
    </w:p>
    <w:p>
      <w:pPr>
        <w:pStyle w:val="FirstParagraph"/>
      </w:pPr>
      <w:r>
        <w:t xml:space="preserve">The scope of this experiment is limited to three specific sampling sites within Israel Tel Aviv:</w:t>
      </w:r>
    </w:p>
    <w:p>
      <w:pPr>
        <w:numPr>
          <w:ilvl w:val="0"/>
          <w:numId w:val="1001"/>
        </w:numPr>
        <w:pStyle w:val="Compact"/>
      </w:pPr>
      <w:r>
        <w:rPr>
          <w:bCs/>
          <w:b/>
        </w:rPr>
        <w:t xml:space="preserve">Site A:</w:t>
      </w:r>
      <w:r>
        <w:t xml:space="preserve"> </w:t>
      </w:r>
      <w:r>
        <w:t xml:space="preserve">Outflow of the central drainage channel near Rothschild Boulevard.</w:t>
      </w:r>
    </w:p>
    <w:p>
      <w:pPr>
        <w:numPr>
          <w:ilvl w:val="0"/>
          <w:numId w:val="1001"/>
        </w:numPr>
        <w:pStyle w:val="Compact"/>
      </w:pPr>
      <w:r>
        <w:rPr>
          <w:bCs/>
          <w:b/>
        </w:rPr>
        <w:t xml:space="preserve">Site B:</w:t>
      </w:r>
      <w:r>
        <w:t xml:space="preserve"> </w:t>
      </w:r>
      <w:r>
        <w:t xml:space="preserve">Wadi HaArava retention basin outlet.</w:t>
      </w:r>
    </w:p>
    <w:p>
      <w:pPr>
        <w:numPr>
          <w:ilvl w:val="0"/>
          <w:numId w:val="1001"/>
        </w:numPr>
        <w:pStyle w:val="Compact"/>
      </w:pPr>
      <w:r>
        <w:rPr>
          <w:bCs/>
          <w:b/>
        </w:rPr>
        <w:t xml:space="preserve">Site C:</w:t>
      </w:r>
      <w:r>
        <w:t xml:space="preserve"> </w:t>
      </w:r>
      <w:r>
        <w:t xml:space="preserve">Coastal discharge point near the Tel Aviv Port.</w:t>
      </w:r>
    </w:p>
    <w:p>
      <w:pPr>
        <w:pStyle w:val="FirstParagraph"/>
      </w:pPr>
      <w:r>
        <w:t xml:space="preserve">The Environmental Engineer is responsible for ensuring that all sampling activities adhere to local municipal regulations and do not disrupt public safety or traffic flow.</w:t>
      </w:r>
    </w:p>
    <w:bookmarkEnd w:id="21"/>
    <w:bookmarkStart w:id="22" w:name="safety-and-regulatory-compliance"/>
    <w:p>
      <w:pPr>
        <w:pStyle w:val="Heading2"/>
      </w:pPr>
      <w:r>
        <w:t xml:space="preserve">3. Safety and Regulatory Compliance</w:t>
      </w:r>
    </w:p>
    <w:p>
      <w:pPr>
        <w:pStyle w:val="FirstParagraph"/>
      </w:pPr>
      <w:r>
        <w:t xml:space="preserve">Safety is paramount. All personnel must adhere to the following protocols:</w:t>
      </w:r>
    </w:p>
    <w:p>
      <w:pPr>
        <w:numPr>
          <w:ilvl w:val="0"/>
          <w:numId w:val="1002"/>
        </w:numPr>
        <w:pStyle w:val="Compact"/>
      </w:pPr>
      <w:r>
        <w:t xml:space="preserve">Wear appropriate Personal Protective Equipment (PPE), including nitrile gloves, safety goggles, and high-visibility vests.</w:t>
      </w:r>
    </w:p>
    <w:p>
      <w:pPr>
        <w:numPr>
          <w:ilvl w:val="0"/>
          <w:numId w:val="1002"/>
        </w:numPr>
        <w:pStyle w:val="Compact"/>
      </w:pPr>
      <w:r>
        <w:t xml:space="preserve">Obtain necessary permits from the Tel Aviv-Yafo Municipality prior to accessing drainage infrastructure.</w:t>
      </w:r>
    </w:p>
    <w:p>
      <w:pPr>
        <w:numPr>
          <w:ilvl w:val="0"/>
          <w:numId w:val="1002"/>
        </w:numPr>
        <w:pStyle w:val="Compact"/>
      </w:pPr>
      <w:r>
        <w:t xml:space="preserve">Ensure all chemical reagents used for preservation are handled according to Material Safety Data Sheets (MSDS).</w:t>
      </w:r>
    </w:p>
    <w:p>
      <w:pPr>
        <w:numPr>
          <w:ilvl w:val="0"/>
          <w:numId w:val="1002"/>
        </w:numPr>
        <w:pStyle w:val="Compact"/>
      </w:pPr>
      <w:r>
        <w:t xml:space="preserve">Dispose of hazardous waste in accordance with Israeli environmental laws.</w:t>
      </w:r>
    </w:p>
    <w:p>
      <w:pPr>
        <w:pStyle w:val="FirstParagraph"/>
      </w:pPr>
      <w:r>
        <w:t xml:space="preserve">Warning: Do not enter confined spaces within drainage tunnels without atmospheric testing and a spotter.</w:t>
      </w:r>
    </w:p>
    <w:bookmarkEnd w:id="22"/>
    <w:bookmarkStart w:id="23"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Sampling Bottles</w:t>
            </w:r>
          </w:p>
        </w:tc>
        <w:tc>
          <w:tcPr/>
          <w:p>
            <w:pPr>
              <w:pStyle w:val="Compact"/>
              <w:jc w:val="left"/>
            </w:pPr>
            <w:r>
              <w:t xml:space="preserve">1L HDPE, pre-cleaned with nitric acid</w:t>
            </w:r>
          </w:p>
        </w:tc>
        <w:tc>
          <w:tcPr/>
          <w:p>
            <w:pPr>
              <w:pStyle w:val="Compact"/>
              <w:jc w:val="left"/>
            </w:pPr>
            <w:r>
              <w:t xml:space="preserve">30</w:t>
            </w:r>
          </w:p>
        </w:tc>
      </w:tr>
      <w:tr>
        <w:tc>
          <w:tcPr/>
          <w:p>
            <w:pPr>
              <w:pStyle w:val="Compact"/>
              <w:jc w:val="left"/>
            </w:pPr>
            <w:r>
              <w:t xml:space="preserve">Microplastic Nets</w:t>
            </w:r>
          </w:p>
        </w:tc>
        <w:tc>
          <w:tcPr/>
          <w:p>
            <w:pPr>
              <w:pStyle w:val="Compact"/>
              <w:jc w:val="left"/>
            </w:pPr>
            <w:r>
              <w:t xml:space="preserve">333-micron mesh size</w:t>
            </w:r>
          </w:p>
        </w:tc>
        <w:tc>
          <w:tcPr/>
          <w:p>
            <w:pPr>
              <w:pStyle w:val="Compact"/>
              <w:jc w:val="left"/>
            </w:pPr>
            <w:r>
              <w:t xml:space="preserve">5</w:t>
            </w:r>
          </w:p>
        </w:tc>
      </w:tr>
      <w:tr>
        <w:tc>
          <w:tcPr/>
          <w:p>
            <w:pPr>
              <w:pStyle w:val="Compact"/>
              <w:jc w:val="left"/>
            </w:pPr>
            <w:r>
              <w:t xml:space="preserve">GPS Unit</w:t>
            </w:r>
          </w:p>
        </w:tc>
        <w:tc>
          <w:tcPr/>
          <w:p>
            <w:pPr>
              <w:pStyle w:val="Compact"/>
              <w:jc w:val="left"/>
            </w:pPr>
            <w:r>
              <w:t xml:space="preserve">High-precision handheld</w:t>
            </w:r>
          </w:p>
        </w:tc>
        <w:tc>
          <w:tcPr/>
          <w:p>
            <w:pPr>
              <w:pStyle w:val="Compact"/>
              <w:jc w:val="left"/>
            </w:pPr>
            <w:r>
              <w:t xml:space="preserve">1</w:t>
            </w:r>
          </w:p>
        </w:tc>
      </w:tr>
      <w:tr>
        <w:tc>
          <w:tcPr/>
          <w:p>
            <w:pPr>
              <w:pStyle w:val="Compact"/>
              <w:jc w:val="left"/>
            </w:pPr>
            <w:r>
              <w:t xml:space="preserve">pH Meter</w:t>
            </w:r>
          </w:p>
        </w:tc>
        <w:tc>
          <w:tcPr/>
          <w:p>
            <w:pPr>
              <w:pStyle w:val="Compact"/>
              <w:jc w:val="left"/>
            </w:pPr>
            <w:r>
              <w:t xml:space="preserve">Calibrated, waterproof</w:t>
            </w:r>
          </w:p>
        </w:tc>
        <w:tc>
          <w:tcPr/>
          <w:p>
            <w:pPr>
              <w:pStyle w:val="Compact"/>
              <w:jc w:val="left"/>
            </w:pPr>
            <w:r>
              <w:t xml:space="preserve">1</w:t>
            </w:r>
          </w:p>
        </w:tc>
      </w:tr>
      <w:tr>
        <w:tc>
          <w:tcPr/>
          <w:p>
            <w:pPr>
              <w:pStyle w:val="Compact"/>
              <w:jc w:val="left"/>
            </w:pPr>
            <w:r>
              <w:t xml:space="preserve">Dissolved Oxygen Probe</w:t>
            </w:r>
          </w:p>
        </w:tc>
        <w:tc>
          <w:tcPr/>
          <w:p>
            <w:pPr>
              <w:pStyle w:val="Compact"/>
              <w:jc w:val="left"/>
            </w:pPr>
            <w:r>
              <w:t xml:space="preserve">Optical sensor</w:t>
            </w:r>
          </w:p>
        </w:tc>
        <w:tc>
          <w:tcPr/>
          <w:p>
            <w:pPr>
              <w:pStyle w:val="Compact"/>
              <w:jc w:val="left"/>
            </w:pPr>
            <w:r>
              <w:t xml:space="preserve">1</w:t>
            </w:r>
          </w:p>
        </w:tc>
      </w:tr>
      <w:tr>
        <w:tc>
          <w:tcPr/>
          <w:p>
            <w:pPr>
              <w:pStyle w:val="Compact"/>
              <w:jc w:val="left"/>
            </w:pPr>
            <w:r>
              <w:t xml:space="preserve">Cooler</w:t>
            </w:r>
          </w:p>
        </w:tc>
        <w:tc>
          <w:tcPr/>
          <w:p>
            <w:pPr>
              <w:pStyle w:val="Compact"/>
              <w:jc w:val="left"/>
            </w:pPr>
            <w:r>
              <w:t xml:space="preserve">Insulated with ice packs (4°C)</w:t>
            </w:r>
          </w:p>
        </w:tc>
        <w:tc>
          <w:tcPr/>
          <w:p>
            <w:pPr>
              <w:pStyle w:val="Compact"/>
              <w:jc w:val="left"/>
            </w:pPr>
            <w:r>
              <w:t xml:space="preserve">2</w:t>
            </w:r>
          </w:p>
        </w:tc>
      </w:tr>
    </w:tbl>
    <w:bookmarkEnd w:id="23"/>
    <w:bookmarkStart w:id="27" w:name="methodology"/>
    <w:p>
      <w:pPr>
        <w:pStyle w:val="Heading2"/>
      </w:pPr>
      <w:r>
        <w:t xml:space="preserve">5. Methodology</w:t>
      </w:r>
    </w:p>
    <w:bookmarkStart w:id="24" w:name="pre-experiment-calibration"/>
    <w:p>
      <w:pPr>
        <w:pStyle w:val="Heading3"/>
      </w:pPr>
      <w:r>
        <w:t xml:space="preserve">5.1 Pre-Experiment Calibration</w:t>
      </w:r>
    </w:p>
    <w:p>
      <w:pPr>
        <w:pStyle w:val="FirstParagraph"/>
      </w:pPr>
      <w:r>
        <w:t xml:space="preserve">The Environmental Engineer must calibrate all electronic sensors (pH, DO, Conductivity) using standard buffer solutions immediately prior to deployment. Calibration logs must be recorded in the field notebook.</w:t>
      </w:r>
    </w:p>
    <w:bookmarkEnd w:id="24"/>
    <w:bookmarkStart w:id="25" w:name="sampling-procedure"/>
    <w:p>
      <w:pPr>
        <w:pStyle w:val="Heading3"/>
      </w:pPr>
      <w:r>
        <w:t xml:space="preserve">5.2 Sampling Procedure</w:t>
      </w:r>
    </w:p>
    <w:p>
      <w:pPr>
        <w:pStyle w:val="FirstParagraph"/>
      </w:pPr>
      <w:r>
        <w:t xml:space="preserve">Sampling will occur during three distinct phases: Baseflow (dry weather), Event Start (first 15 minutes of rain), and Peak Flow.</w:t>
      </w:r>
    </w:p>
    <w:p>
      <w:pPr>
        <w:numPr>
          <w:ilvl w:val="0"/>
          <w:numId w:val="1003"/>
        </w:numPr>
        <w:pStyle w:val="Compact"/>
      </w:pPr>
      <w:r>
        <w:rPr>
          <w:bCs/>
          <w:b/>
        </w:rPr>
        <w:t xml:space="preserve">Site Preparation:</w:t>
      </w:r>
      <w:r>
        <w:t xml:space="preserve"> </w:t>
      </w:r>
      <w:r>
        <w:t xml:space="preserve">Upon arrival at the designated site in Israel Tel Aviv, verify GPS coordinates and document site conditions (weather, flow rate, visible debris).</w:t>
      </w:r>
    </w:p>
    <w:p>
      <w:pPr>
        <w:numPr>
          <w:ilvl w:val="0"/>
          <w:numId w:val="1003"/>
        </w:numPr>
        <w:pStyle w:val="Compact"/>
      </w:pPr>
      <w:r>
        <w:rPr>
          <w:bCs/>
          <w:b/>
        </w:rPr>
        <w:t xml:space="preserve">Grab Sampling:</w:t>
      </w:r>
      <w:r>
        <w:t xml:space="preserve"> </w:t>
      </w:r>
      <w:r>
        <w:t xml:space="preserve">For heavy metal analysis, collect grab samples from the mid-stream of the flow. Rinse the bottle three times with sample water before filling. Fill to the brim to minimize headspace.</w:t>
      </w:r>
    </w:p>
    <w:p>
      <w:pPr>
        <w:numPr>
          <w:ilvl w:val="0"/>
          <w:numId w:val="1003"/>
        </w:numPr>
        <w:pStyle w:val="Compact"/>
      </w:pPr>
      <w:r>
        <w:rPr>
          <w:bCs/>
          <w:b/>
        </w:rPr>
        <w:t xml:space="preserve">Microplastic Collection:</w:t>
      </w:r>
      <w:r>
        <w:t xml:space="preserve"> </w:t>
      </w:r>
      <w:r>
        <w:t xml:space="preserve">Deploy the 333-micron mesh net perpendicular to the flow for a duration of 10 minutes or until a volume of 50 liters has passed through, whichever comes first.</w:t>
      </w:r>
    </w:p>
    <w:p>
      <w:pPr>
        <w:numPr>
          <w:ilvl w:val="0"/>
          <w:numId w:val="1003"/>
        </w:numPr>
        <w:pStyle w:val="Compact"/>
      </w:pPr>
      <w:r>
        <w:rPr>
          <w:bCs/>
          <w:b/>
        </w:rPr>
        <w:t xml:space="preserve">In-situ Measurements:</w:t>
      </w:r>
      <w:r>
        <w:t xml:space="preserve"> </w:t>
      </w:r>
      <w:r>
        <w:t xml:space="preserve">Record temperature, pH, dissolved oxygen, and turbidity at each sampling point.</w:t>
      </w:r>
    </w:p>
    <w:p>
      <w:pPr>
        <w:numPr>
          <w:ilvl w:val="0"/>
          <w:numId w:val="1003"/>
        </w:numPr>
        <w:pStyle w:val="Compact"/>
      </w:pPr>
      <w:r>
        <w:rPr>
          <w:bCs/>
          <w:b/>
        </w:rPr>
        <w:t xml:space="preserve">Preservation:</w:t>
      </w:r>
      <w:r>
        <w:t xml:space="preserve"> </w:t>
      </w:r>
      <w:r>
        <w:t xml:space="preserve">Immediately place heavy metal samples in the cooler with ice packs. Add nitric acid to adjust pH to less than 2 if required by the specific analytical method.</w:t>
      </w:r>
    </w:p>
    <w:bookmarkEnd w:id="25"/>
    <w:bookmarkStart w:id="26" w:name="laboratory-analysis"/>
    <w:p>
      <w:pPr>
        <w:pStyle w:val="Heading3"/>
      </w:pPr>
      <w:r>
        <w:t xml:space="preserve">5.3 Laboratory Analysis</w:t>
      </w:r>
    </w:p>
    <w:p>
      <w:pPr>
        <w:pStyle w:val="FirstParagraph"/>
      </w:pPr>
      <w:r>
        <w:t xml:space="preserve">Transport samples to the accredited laboratory within 24 hours. The Environmental Engineer will oversee the following analyses:</w:t>
      </w:r>
    </w:p>
    <w:p>
      <w:pPr>
        <w:numPr>
          <w:ilvl w:val="0"/>
          <w:numId w:val="1004"/>
        </w:numPr>
        <w:pStyle w:val="Compact"/>
      </w:pPr>
      <w:r>
        <w:rPr>
          <w:bCs/>
          <w:b/>
        </w:rPr>
        <w:t xml:space="preserve">Heavy Metals:</w:t>
      </w:r>
      <w:r>
        <w:t xml:space="preserve"> </w:t>
      </w:r>
      <w:r>
        <w:t xml:space="preserve">Inductively Coupled Plasma Mass Spectrometry (ICP-MS).</w:t>
      </w:r>
    </w:p>
    <w:p>
      <w:pPr>
        <w:numPr>
          <w:ilvl w:val="0"/>
          <w:numId w:val="1004"/>
        </w:numPr>
        <w:pStyle w:val="Compact"/>
      </w:pPr>
      <w:r>
        <w:rPr>
          <w:bCs/>
          <w:b/>
        </w:rPr>
        <w:t xml:space="preserve">Microplastics:</w:t>
      </w:r>
      <w:r>
        <w:t xml:space="preserve"> </w:t>
      </w:r>
      <w:r>
        <w:t xml:space="preserve">Visual identification followed by Fourier Transform Infrared Spectroscopy (FTIR) for polymer confirmation.</w:t>
      </w:r>
    </w:p>
    <w:bookmarkEnd w:id="26"/>
    <w:bookmarkEnd w:id="27"/>
    <w:bookmarkStart w:id="28" w:name="data-management-and-reporting"/>
    <w:p>
      <w:pPr>
        <w:pStyle w:val="Heading2"/>
      </w:pPr>
      <w:r>
        <w:t xml:space="preserve">6. Data Management and Reporting</w:t>
      </w:r>
    </w:p>
    <w:p>
      <w:pPr>
        <w:pStyle w:val="FirstParagraph"/>
      </w:pPr>
      <w:r>
        <w:t xml:space="preserve">All data must be recorded in a digital logbook with timestamps. The Environmental Engineer is responsible for compiling the final report, which must include:</w:t>
      </w:r>
    </w:p>
    <w:p>
      <w:pPr>
        <w:numPr>
          <w:ilvl w:val="0"/>
          <w:numId w:val="1005"/>
        </w:numPr>
        <w:pStyle w:val="Compact"/>
      </w:pPr>
      <w:r>
        <w:t xml:space="preserve">Statistical analysis of pollutant concentrations across the three sites.</w:t>
      </w:r>
    </w:p>
    <w:p>
      <w:pPr>
        <w:numPr>
          <w:ilvl w:val="0"/>
          <w:numId w:val="1005"/>
        </w:numPr>
        <w:pStyle w:val="Compact"/>
      </w:pPr>
      <w:r>
        <w:t xml:space="preserve">Comparison of results against the Israeli Standard for Discharge to Surface Waters.</w:t>
      </w:r>
    </w:p>
    <w:p>
      <w:pPr>
        <w:numPr>
          <w:ilvl w:val="0"/>
          <w:numId w:val="1005"/>
        </w:numPr>
        <w:pStyle w:val="Compact"/>
      </w:pPr>
      <w:r>
        <w:t xml:space="preserve">Recommendations for infrastructure improvements in the Tel Aviv drainage network.</w:t>
      </w:r>
    </w:p>
    <w:bookmarkEnd w:id="28"/>
    <w:bookmarkStart w:id="29" w:name="conclusion"/>
    <w:p>
      <w:pPr>
        <w:pStyle w:val="Heading2"/>
      </w:pPr>
      <w:r>
        <w:t xml:space="preserve">7. Conclusion</w:t>
      </w:r>
    </w:p>
    <w:p>
      <w:pPr>
        <w:pStyle w:val="FirstParagraph"/>
      </w:pPr>
      <w:r>
        <w:t xml:space="preserve">This Experiment Protocol provides a rigorous framework for assessing environmental quality in Israel Tel Aviv. By adhering to these procedures, the Environmental Engineer ensures that the data collected is scientifically valid, legally defensible, and useful for protecting the coastal ecosystem and public health.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Water Quality Assessment</dc:title>
  <dc:creator/>
  <dc:language>en</dc:language>
  <cp:keywords/>
  <dcterms:created xsi:type="dcterms:W3CDTF">2026-10-10T04:03:02Z</dcterms:created>
  <dcterms:modified xsi:type="dcterms:W3CDTF">2026-10-10T04:03:02Z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