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Rome</w:t>
      </w:r>
    </w:p>
    <w:bookmarkStart w:id="20" w:name="Xb9e56289f92d7aa238600e47d368c02c84a80b3"/>
    <w:p>
      <w:pPr>
        <w:pStyle w:val="Heading1"/>
      </w:pPr>
      <w:r>
        <w:t xml:space="preserve">Experiment Protocol: Urban Water Quality and Microplastic Contamination Assessment</w:t>
      </w:r>
    </w:p>
    <w:p>
      <w:pPr>
        <w:pStyle w:val="FirstParagraph"/>
      </w:pPr>
      <w:r>
        <w:rPr>
          <w:bCs/>
          <w:b/>
        </w:rPr>
        <w:t xml:space="preserve">Location:</w:t>
      </w:r>
      <w:r>
        <w:t xml:space="preserve"> </w:t>
      </w:r>
      <w:r>
        <w:t xml:space="preserve">Rome, Italy (Municipality of Rome)</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ROM-ENV-2023-04</w:t>
      </w:r>
    </w:p>
    <w:bookmarkEnd w:id="20"/>
    <w:p>
      <w:pPr>
        <w:pStyle w:val="BodyText"/>
      </w:pPr>
      <w:r>
        <w:t xml:space="preserve">1. Introduction and Objective</w:t>
      </w:r>
    </w:p>
    <w:p>
      <w:pPr>
        <w:pStyle w:val="BodyText"/>
      </w:pPr>
      <w:r>
        <w:t xml:space="preserve">This Experiment Protocol outlines the methodology for assessing the quality of surface water and the presence of microplastics in selected urban waterways within Rome, Italy. As an Environmental Engineer operating within the regulatory framework of the Italian Ministry of Environment and Energy Security (MATTM), the primary objective is to evaluate the impact of urban runoff and historical infrastructure on local aquatic ecosystems.</w:t>
      </w:r>
    </w:p>
    <w:p>
      <w:pPr>
        <w:pStyle w:val="BodyText"/>
      </w:pPr>
      <w:r>
        <w:t xml:space="preserve">Rome presents a unique environmental engineering challenge due to its dense historical center, aging sewer systems, and proximity to the Tiber River (Fiume Tevere). This protocol aims to collect empirical data to support compliance with the European Union Water Framework Directive (2000/60/EC) and Italian Legislative Decree 152/2006. The study will focus on identifying pollutant loads during dry weather flows to establish a baseline for future remediation strategies.</w:t>
      </w:r>
    </w:p>
    <w:p>
      <w:pPr>
        <w:pStyle w:val="BodyText"/>
      </w:pPr>
      <w:r>
        <w:t xml:space="preserve">2. Scope and Study Area</w:t>
      </w:r>
    </w:p>
    <w:p>
      <w:pPr>
        <w:pStyle w:val="BodyText"/>
      </w:pPr>
      <w:r>
        <w:t xml:space="preserve">The scope of this experiment is limited to surface water sampling at five designated stations along the Tiber River and the Aniene River within the metropolitan area of Rome. The Environmental Engineer will oversee the selection of sites that represent varying degrees of urbanization and industrial activity.</w:t>
      </w:r>
    </w:p>
    <w:p>
      <w:pPr>
        <w:pStyle w:val="BodyText"/>
      </w:pPr>
      <w:r>
        <w:rPr>
          <w:bCs/>
          <w:b/>
        </w:rPr>
        <w:t xml:space="preserve">Selected Sampling Sites:</w:t>
      </w:r>
    </w:p>
    <w:p>
      <w:pPr>
        <w:numPr>
          <w:ilvl w:val="0"/>
          <w:numId w:val="1001"/>
        </w:numPr>
        <w:pStyle w:val="Compact"/>
      </w:pPr>
      <w:r>
        <w:t xml:space="preserve">Station A: Ponte Milvio (Upstream Tiber)</w:t>
      </w:r>
    </w:p>
    <w:p>
      <w:pPr>
        <w:numPr>
          <w:ilvl w:val="0"/>
          <w:numId w:val="1001"/>
        </w:numPr>
        <w:pStyle w:val="Compact"/>
      </w:pPr>
      <w:r>
        <w:t xml:space="preserve">Station B: Ponte Sisto (Historical Center)</w:t>
      </w:r>
    </w:p>
    <w:p>
      <w:pPr>
        <w:numPr>
          <w:ilvl w:val="0"/>
          <w:numId w:val="1001"/>
        </w:numPr>
        <w:pStyle w:val="Compact"/>
      </w:pPr>
      <w:r>
        <w:t xml:space="preserve">Station C: Ponte Galeria (Industrial Zone)</w:t>
      </w:r>
    </w:p>
    <w:p>
      <w:pPr>
        <w:numPr>
          <w:ilvl w:val="0"/>
          <w:numId w:val="1001"/>
        </w:numPr>
        <w:pStyle w:val="Compact"/>
      </w:pPr>
      <w:r>
        <w:t xml:space="preserve">Station D: Aniene River at Villa Ada</w:t>
      </w:r>
    </w:p>
    <w:p>
      <w:pPr>
        <w:numPr>
          <w:ilvl w:val="0"/>
          <w:numId w:val="1001"/>
        </w:numPr>
        <w:pStyle w:val="Compact"/>
      </w:pPr>
      <w:r>
        <w:t xml:space="preserve">Station E: Mouth of the Tiber (Ostia Lido)</w:t>
      </w:r>
    </w:p>
    <w:p>
      <w:pPr>
        <w:pStyle w:val="FirstParagraph"/>
      </w:pPr>
      <w:r>
        <w:t xml:space="preserve">3. Methodology</w:t>
      </w:r>
    </w:p>
    <w:p>
      <w:pPr>
        <w:pStyle w:val="BodyText"/>
      </w:pPr>
      <w:r>
        <w:t xml:space="preserve">The methodology adheres to standard ISO protocols and Italian technical guidelines. The Environmental Engineer will ensure that all sampling equipment is calibrated and that chain-of-custody procedures are strictly followed.</w:t>
      </w:r>
    </w:p>
    <w:bookmarkStart w:id="21" w:name="sampling-procedure"/>
    <w:p>
      <w:pPr>
        <w:pStyle w:val="Heading3"/>
      </w:pPr>
      <w:r>
        <w:t xml:space="preserve">3.1 Sampling Procedure</w:t>
      </w:r>
    </w:p>
    <w:p>
      <w:pPr>
        <w:pStyle w:val="FirstParagraph"/>
      </w:pPr>
      <w:r>
        <w:t xml:space="preserve">Sampling will be conducted over a period of four weeks. At each station, water samples will be collected at a depth of 0.5 meters below the surface to avoid surface debris while ensuring representative flow.</w:t>
      </w:r>
    </w:p>
    <w:p>
      <w:pPr>
        <w:numPr>
          <w:ilvl w:val="0"/>
          <w:numId w:val="1002"/>
        </w:numPr>
        <w:pStyle w:val="Compact"/>
      </w:pPr>
      <w:r>
        <w:rPr>
          <w:bCs/>
          <w:b/>
        </w:rPr>
        <w:t xml:space="preserve">Volume:</w:t>
      </w:r>
      <w:r>
        <w:t xml:space="preserve"> </w:t>
      </w:r>
      <w:r>
        <w:t xml:space="preserve">2 liters per sample for chemical analysis; 50 liters for microplastic filtration.</w:t>
      </w:r>
    </w:p>
    <w:p>
      <w:pPr>
        <w:numPr>
          <w:ilvl w:val="0"/>
          <w:numId w:val="1002"/>
        </w:numPr>
        <w:pStyle w:val="Compact"/>
      </w:pPr>
      <w:r>
        <w:rPr>
          <w:bCs/>
          <w:b/>
        </w:rPr>
        <w:t xml:space="preserve">Frequency:</w:t>
      </w:r>
      <w:r>
        <w:t xml:space="preserve"> </w:t>
      </w:r>
      <w:r>
        <w:t xml:space="preserve">Twice weekly (Tuesday and Friday) between 09:00 and 11:00 CET.</w:t>
      </w:r>
    </w:p>
    <w:p>
      <w:pPr>
        <w:numPr>
          <w:ilvl w:val="0"/>
          <w:numId w:val="1002"/>
        </w:numPr>
        <w:pStyle w:val="Compact"/>
      </w:pPr>
      <w:r>
        <w:rPr>
          <w:bCs/>
          <w:b/>
        </w:rPr>
        <w:t xml:space="preserve">Equipment:</w:t>
      </w:r>
      <w:r>
        <w:t xml:space="preserve"> </w:t>
      </w:r>
      <w:r>
        <w:t xml:space="preserve">Sterile HDPE bottles, Niskin bottles for depth control, and GPS units for precise geolocation.</w:t>
      </w:r>
    </w:p>
    <w:bookmarkEnd w:id="21"/>
    <w:bookmarkStart w:id="22" w:name="parameters-for-analysis"/>
    <w:p>
      <w:pPr>
        <w:pStyle w:val="Heading3"/>
      </w:pPr>
      <w:r>
        <w:t xml:space="preserve">3.2 Parameters for Analysis</w:t>
      </w:r>
    </w:p>
    <w:p>
      <w:pPr>
        <w:pStyle w:val="FirstParagraph"/>
      </w:pPr>
      <w:r>
        <w:t xml:space="preserve">The following parameters will be analyzed in an accredited laboratory in Rome: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w:t>
            </w:r>
          </w:p>
        </w:tc>
        <w:tc>
          <w:tcPr/>
          <w:p>
            <w:pPr>
              <w:pStyle w:val="Compact"/>
              <w:jc w:val="left"/>
            </w:pPr>
            <w:r>
              <w:t xml:space="preserve">Regulatory Reference</w:t>
            </w:r>
          </w:p>
        </w:tc>
      </w:tr>
      <w:tr>
        <w:tc>
          <w:tcPr/>
          <w:p>
            <w:pPr>
              <w:pStyle w:val="Compact"/>
              <w:jc w:val="left"/>
            </w:pPr>
            <w:r>
              <w:t xml:space="preserve">pH and Conductivity</w:t>
            </w:r>
          </w:p>
        </w:tc>
        <w:tc>
          <w:tcPr/>
          <w:p>
            <w:pPr>
              <w:pStyle w:val="Compact"/>
              <w:jc w:val="left"/>
            </w:pPr>
            <w:r>
              <w:t xml:space="preserve">In-situ measurement</w:t>
            </w:r>
          </w:p>
        </w:tc>
        <w:tc>
          <w:tcPr/>
          <w:p>
            <w:pPr>
              <w:pStyle w:val="Compact"/>
              <w:jc w:val="left"/>
            </w:pPr>
            <w:r>
              <w:t xml:space="preserve">ISO 10523</w:t>
            </w:r>
          </w:p>
        </w:tc>
      </w:tr>
      <w:tr>
        <w:tc>
          <w:tcPr/>
          <w:p>
            <w:pPr>
              <w:pStyle w:val="Compact"/>
              <w:jc w:val="left"/>
            </w:pPr>
            <w:r>
              <w:t xml:space="preserve">Dissolved Oxygen (DO)</w:t>
            </w:r>
          </w:p>
        </w:tc>
        <w:tc>
          <w:tcPr/>
          <w:p>
            <w:pPr>
              <w:pStyle w:val="Compact"/>
              <w:jc w:val="left"/>
            </w:pPr>
            <w:r>
              <w:t xml:space="preserve">Winkler Titration</w:t>
            </w:r>
          </w:p>
        </w:tc>
        <w:tc>
          <w:tcPr/>
          <w:p>
            <w:pPr>
              <w:pStyle w:val="Compact"/>
              <w:jc w:val="left"/>
            </w:pPr>
            <w:r>
              <w:t xml:space="preserve">ISO 5813</w:t>
            </w:r>
          </w:p>
        </w:tc>
      </w:tr>
      <w:tr>
        <w:tc>
          <w:tcPr/>
          <w:p>
            <w:pPr>
              <w:pStyle w:val="Compact"/>
              <w:jc w:val="left"/>
            </w:pPr>
            <w:r>
              <w:t xml:space="preserve">Chemical Oxygen Demand (COD)</w:t>
            </w:r>
          </w:p>
        </w:tc>
        <w:tc>
          <w:tcPr/>
          <w:p>
            <w:pPr>
              <w:pStyle w:val="Compact"/>
              <w:jc w:val="left"/>
            </w:pPr>
            <w:r>
              <w:t xml:space="preserve">Dichromate Reflux</w:t>
            </w:r>
          </w:p>
        </w:tc>
        <w:tc>
          <w:tcPr/>
          <w:p>
            <w:pPr>
              <w:pStyle w:val="Compact"/>
              <w:jc w:val="left"/>
            </w:pPr>
            <w:r>
              <w:t xml:space="preserve">ISO 6060</w:t>
            </w:r>
          </w:p>
        </w:tc>
      </w:tr>
      <w:tr>
        <w:tc>
          <w:tcPr/>
          <w:p>
            <w:pPr>
              <w:pStyle w:val="Compact"/>
              <w:jc w:val="left"/>
            </w:pPr>
            <w:r>
              <w:t xml:space="preserve">Nitrates and Phosphates</w:t>
            </w:r>
          </w:p>
        </w:tc>
        <w:tc>
          <w:tcPr/>
          <w:p>
            <w:pPr>
              <w:pStyle w:val="Compact"/>
              <w:jc w:val="left"/>
            </w:pPr>
            <w:r>
              <w:t xml:space="preserve">Spectrophotometry</w:t>
            </w:r>
          </w:p>
        </w:tc>
        <w:tc>
          <w:tcPr/>
          <w:p>
            <w:pPr>
              <w:pStyle w:val="Compact"/>
              <w:jc w:val="left"/>
            </w:pPr>
            <w:r>
              <w:t xml:space="preserve">D.Lgs 152/2006</w:t>
            </w:r>
          </w:p>
        </w:tc>
      </w:tr>
      <w:tr>
        <w:tc>
          <w:tcPr/>
          <w:p>
            <w:pPr>
              <w:pStyle w:val="Compact"/>
              <w:jc w:val="left"/>
            </w:pPr>
            <w:r>
              <w:t xml:space="preserve">Microplastics</w:t>
            </w:r>
          </w:p>
        </w:tc>
        <w:tc>
          <w:tcPr/>
          <w:p>
            <w:pPr>
              <w:pStyle w:val="Compact"/>
              <w:jc w:val="left"/>
            </w:pPr>
            <w:r>
              <w:t xml:space="preserve">Filtration and FTIR Spectroscopy</w:t>
            </w:r>
          </w:p>
        </w:tc>
        <w:tc>
          <w:tcPr/>
          <w:p>
            <w:pPr>
              <w:pStyle w:val="Compact"/>
              <w:jc w:val="left"/>
            </w:pPr>
            <w:r>
              <w:t xml:space="preserve">Horizon 2020 Guidelines</w:t>
            </w:r>
          </w:p>
        </w:tc>
      </w:tr>
    </w:tbl>
    <w:bookmarkEnd w:id="22"/>
    <w:p>
      <w:pPr>
        <w:pStyle w:val="BodyText"/>
      </w:pPr>
      <w:r>
        <w:t xml:space="preserve">4. Health and Safety Protocols</w:t>
      </w:r>
    </w:p>
    <w:p>
      <w:pPr>
        <w:pStyle w:val="BodyText"/>
      </w:pPr>
      <w:r>
        <w:t xml:space="preserve">Given the potential hazards associated with working near urban waterways in Rome, strict safety measures are mandatory. The Environmental Engineer is responsible for enforcing these protocols.</w:t>
      </w:r>
    </w:p>
    <w:p>
      <w:pPr>
        <w:numPr>
          <w:ilvl w:val="0"/>
          <w:numId w:val="1003"/>
        </w:numPr>
        <w:pStyle w:val="Compact"/>
      </w:pPr>
      <w:r>
        <w:rPr>
          <w:bCs/>
          <w:b/>
        </w:rPr>
        <w:t xml:space="preserve">Personal Protective Equipment (PPE):</w:t>
      </w:r>
      <w:r>
        <w:t xml:space="preserve"> </w:t>
      </w:r>
      <w:r>
        <w:t xml:space="preserve">All personnel must wear high-visibility vests, waterproof boots, nitrile gloves, and safety goggles.</w:t>
      </w:r>
    </w:p>
    <w:p>
      <w:pPr>
        <w:numPr>
          <w:ilvl w:val="0"/>
          <w:numId w:val="1003"/>
        </w:numPr>
        <w:pStyle w:val="Compact"/>
      </w:pPr>
      <w:r>
        <w:rPr>
          <w:bCs/>
          <w:b/>
        </w:rPr>
        <w:t xml:space="preserve">Site Safety:</w:t>
      </w:r>
      <w:r>
        <w:t xml:space="preserve"> </w:t>
      </w:r>
      <w:r>
        <w:t xml:space="preserve">Assess bank stability before approaching the water edge. Avoid sampling during high flow events or heavy rainfall common in the Roman autumn.</w:t>
      </w:r>
    </w:p>
    <w:p>
      <w:pPr>
        <w:numPr>
          <w:ilvl w:val="0"/>
          <w:numId w:val="1003"/>
        </w:numPr>
        <w:pStyle w:val="Compact"/>
      </w:pPr>
      <w:r>
        <w:rPr>
          <w:bCs/>
          <w:b/>
        </w:rPr>
        <w:t xml:space="preserve">Biohazards:</w:t>
      </w:r>
      <w:r>
        <w:t xml:space="preserve"> </w:t>
      </w:r>
      <w:r>
        <w:t xml:space="preserve">Treat all water samples as potentially contaminated with pathogens. Wash hands thoroughly after sampling and decontaminate equipment with 70% ethanol.</w:t>
      </w:r>
    </w:p>
    <w:p>
      <w:pPr>
        <w:pStyle w:val="FirstParagraph"/>
      </w:pPr>
      <w:r>
        <w:t xml:space="preserve">5. Data Management and Reporting</w:t>
      </w:r>
    </w:p>
    <w:p>
      <w:pPr>
        <w:pStyle w:val="BodyText"/>
      </w:pPr>
      <w:r>
        <w:t xml:space="preserve">Data collected will be recorded in a digital logbook compliant with GDPR regulations. The Environmental Engineer will compile a final report detailing the findings, comparing them against the limit values set by Italian law.</w:t>
      </w:r>
    </w:p>
    <w:p>
      <w:pPr>
        <w:pStyle w:val="BodyText"/>
      </w:pPr>
      <w:r>
        <w:t xml:space="preserve">The report will include recommendations for the Municipality of Rome regarding potential infrastructure upgrades or pollution control measures. Special attention will be paid to the correlation between historical sewage outfalls and elevated pollutant levels in the central districts.</w:t>
      </w:r>
    </w:p>
    <w:p>
      <w:pPr>
        <w:pStyle w:val="BodyText"/>
      </w:pPr>
      <w:r>
        <w:t xml:space="preserve">6. Conclusion</w:t>
      </w:r>
    </w:p>
    <w:p>
      <w:pPr>
        <w:pStyle w:val="BodyText"/>
      </w:pPr>
      <w:r>
        <w:t xml:space="preserve">This Experiment Protocol provides a structured approach to evaluating water quality in Rome. By adhering to these guidelines, the Environmental Engineer ensures that the data obtained is scientifically valid, legally defensible, and useful for improving the environmental sustainability of the city. The results will contribute to the broader understanding of urban hydrology in Mediterranean climates and support policy decisions aimed at protecting Rome’s vital water resources.</w:t>
      </w:r>
    </w:p>
    <w:p>
      <w:pPr>
        <w:pStyle w:val="BodyText"/>
      </w:pPr>
      <w:r>
        <w:rPr>
          <w:bCs/>
          <w:b/>
        </w:rPr>
        <w:t xml:space="preserve">Approval:</w:t>
      </w:r>
      <w:r>
        <w:br/>
      </w:r>
      <w:r>
        <w:t xml:space="preserve">Name: __________________________</w:t>
      </w:r>
      <w:r>
        <w:br/>
      </w:r>
      <w:r>
        <w:t xml:space="preserve">Title: Lead Environmental Engineer</w:t>
      </w:r>
      <w:r>
        <w:br/>
      </w:r>
      <w:r>
        <w:t xml:space="preserve">Signature: ______________________</w:t>
      </w:r>
      <w:r>
        <w:br/>
      </w:r>
      <w:r>
        <w:t xml:space="preserve">Date: __________________________</w:t>
      </w:r>
    </w:p>
    <w:p>
      <w:pPr>
        <w:pStyle w:val="BodyText"/>
      </w:pPr>
      <w:r>
        <w:t xml:space="preserve">Document Version: 1.0 | Confidentiality Level: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Rome</dc:title>
  <dc:creator/>
  <dc:language>en</dc:language>
  <cp:keywords/>
  <dcterms:created xsi:type="dcterms:W3CDTF">2026-10-10T00:32:16Z</dcterms:created>
  <dcterms:modified xsi:type="dcterms:W3CDTF">2026-10-10T00:32:16Z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