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r>
        <w:t xml:space="preserve"> </w:t>
      </w:r>
      <w:r>
        <w:t xml:space="preserve">in</w:t>
      </w:r>
      <w:r>
        <w:t xml:space="preserve"> </w:t>
      </w:r>
      <w:r>
        <w:t xml:space="preserve">Japan</w:t>
      </w:r>
      <w:r>
        <w:t xml:space="preserve"> </w:t>
      </w:r>
      <w:r>
        <w:t xml:space="preserve">Osaka</w:t>
      </w:r>
    </w:p>
    <w:bookmarkStart w:id="29" w:name="Xfe4a9a5bd21401c67237cce0432f534d118e703"/>
    <w:p>
      <w:pPr>
        <w:pStyle w:val="Heading1"/>
      </w:pPr>
      <w:r>
        <w:t xml:space="preserve">Experiment Protocol: Urban Water Quality Assessment in Japan Osaka</w:t>
      </w:r>
    </w:p>
    <w:p>
      <w:pPr>
        <w:pStyle w:val="FirstParagraph"/>
      </w:pPr>
      <w:r>
        <w:rPr>
          <w:bCs/>
          <w:b/>
        </w:rPr>
        <w:t xml:space="preserve">Document ID:</w:t>
      </w:r>
      <w:r>
        <w:t xml:space="preserve"> </w:t>
      </w:r>
      <w:r>
        <w:t xml:space="preserve">EP-OSAKA-ENV-2023-004</w:t>
      </w:r>
    </w:p>
    <w:p>
      <w:pPr>
        <w:pStyle w:val="BodyText"/>
      </w:pPr>
      <w:r>
        <w:rPr>
          <w:bCs/>
          <w:b/>
        </w:rPr>
        <w:t xml:space="preserve">Prepared By:</w:t>
      </w:r>
      <w:r>
        <w:t xml:space="preserve"> </w:t>
      </w:r>
      <w:r>
        <w:t xml:space="preserve">Senior Environmental Engineer</w:t>
      </w:r>
    </w:p>
    <w:p>
      <w:pPr>
        <w:pStyle w:val="BodyText"/>
      </w:pPr>
      <w:r>
        <w:rPr>
          <w:bCs/>
          <w:b/>
        </w:rPr>
        <w:t xml:space="preserve">Location:</w:t>
      </w:r>
      <w:r>
        <w:t xml:space="preserve"> </w:t>
      </w:r>
      <w:r>
        <w:t xml:space="preserve">Japan Osaka, Dotonbori River Basin</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Field Implementation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a comprehensive water quality assessment within the urban waterways of Japan Osaka. As a major metropolitan hub in the Kansai region, Osaka faces unique environmental challenges due to high population density, industrial activity, and complex hydrological systems. The primary objective of this experiment is to evaluate the efficacy of current wastewater treatment processes and identify potential sources of non-point source pollution affecting the Dotonbori River and its tributaries.</w:t>
      </w:r>
    </w:p>
    <w:p>
      <w:pPr>
        <w:pStyle w:val="BodyText"/>
      </w:pPr>
      <w:r>
        <w:t xml:space="preserve">The Environmental Engineer leading this study will utilize advanced analytical techniques to measure key physicochemical parameters, including Chemical Oxygen Demand (COD), Biological Oxygen Demand (BOD), Total Nitrogen (TN), Total Phosphorus (TP), and heavy metal concentrations. This data is critical for ensuring compliance with the Japanese Water Quality Standards for Rivers and for informing future urban planning and environmental mitigation strategies in Japan Osaka.</w:t>
      </w:r>
    </w:p>
    <w:bookmarkEnd w:id="20"/>
    <w:bookmarkStart w:id="21" w:name="scope-and-study-area"/>
    <w:p>
      <w:pPr>
        <w:pStyle w:val="Heading2"/>
      </w:pPr>
      <w:r>
        <w:t xml:space="preserve">2. Scope and Study Area</w:t>
      </w:r>
    </w:p>
    <w:p>
      <w:pPr>
        <w:pStyle w:val="FirstParagraph"/>
      </w:pPr>
      <w:r>
        <w:t xml:space="preserve">The scope of this experiment is limited to surface water sampling within the central wards of Japan Osaka, specifically focusing on the Dotonbori, Hozenji Yokocho, and Shinsaibashi districts. These areas are selected due to their high commercial activity and historical significance as water-based transport routes. The study will cover a period of three months to account for seasonal variations in water quality.</w:t>
      </w:r>
    </w:p>
    <w:p>
      <w:pPr>
        <w:pStyle w:val="BodyText"/>
      </w:pPr>
      <w:r>
        <w:t xml:space="preserve">The Environmental Engineer will collaborate with local municipal authorities to ensure that sampling sites are representative of both upstream and downstream conditions relative to major discharge points. This protocol adheres to the guidelines set forth by the Ministry of the Environment of Japan.</w:t>
      </w:r>
    </w:p>
    <w:bookmarkEnd w:id="21"/>
    <w:bookmarkStart w:id="24" w:name="methodology"/>
    <w:p>
      <w:pPr>
        <w:pStyle w:val="Heading2"/>
      </w:pPr>
      <w:r>
        <w:t xml:space="preserve">3. Methodology</w:t>
      </w:r>
    </w:p>
    <w:bookmarkStart w:id="22" w:name="sampling-strategy"/>
    <w:p>
      <w:pPr>
        <w:pStyle w:val="Heading3"/>
      </w:pPr>
      <w:r>
        <w:t xml:space="preserve">3.1 Sampling Strategy</w:t>
      </w:r>
    </w:p>
    <w:p>
      <w:pPr>
        <w:pStyle w:val="FirstParagraph"/>
      </w:pPr>
      <w:r>
        <w:t xml:space="preserve">Sampling will be conducted at ten predetermined stations along the waterways. Each station will be sampled weekly, resulting in a total of 120 samples over the three-month period. The Environmental Engineer will ensure that samples are collected during both dry and wet weather conditions to assess the impact of stormwater runoff on water quality.</w:t>
      </w:r>
    </w:p>
    <w:p>
      <w:pPr>
        <w:pStyle w:val="BodyText"/>
      </w:pPr>
      <w:r>
        <w:t xml:space="preserve">Sampling equipment will include Niskin bottles for discrete depth sampling and peristaltic pumps for continuous flow sampling. All equipment will be thoroughly cleaned with deionized water and acid-washed prior to use to prevent contamination.</w:t>
      </w:r>
    </w:p>
    <w:bookmarkEnd w:id="22"/>
    <w:bookmarkStart w:id="23" w:name="analytical-procedures"/>
    <w:p>
      <w:pPr>
        <w:pStyle w:val="Heading3"/>
      </w:pPr>
      <w:r>
        <w:t xml:space="preserve">3.2 Analytical Procedures</w:t>
      </w:r>
    </w:p>
    <w:p>
      <w:pPr>
        <w:pStyle w:val="FirstParagraph"/>
      </w:pPr>
      <w:r>
        <w:t xml:space="preserve">Upon collection, samples will be transported to the central laboratory in Japan Osaka under refrigerated conditions (4°C) to preserve sample integrity. The following analytical methods will be employed:</w:t>
      </w:r>
    </w:p>
    <w:p>
      <w:pPr>
        <w:numPr>
          <w:ilvl w:val="0"/>
          <w:numId w:val="1001"/>
        </w:numPr>
        <w:pStyle w:val="Compact"/>
      </w:pPr>
      <w:r>
        <w:rPr>
          <w:bCs/>
          <w:b/>
        </w:rPr>
        <w:t xml:space="preserve">COD and BOD:</w:t>
      </w:r>
      <w:r>
        <w:t xml:space="preserve"> </w:t>
      </w:r>
      <w:r>
        <w:t xml:space="preserve">Measured using the closed reflux colorimetric method and the 5-day incubation method, respectively.</w:t>
      </w:r>
    </w:p>
    <w:p>
      <w:pPr>
        <w:numPr>
          <w:ilvl w:val="0"/>
          <w:numId w:val="1001"/>
        </w:numPr>
        <w:pStyle w:val="Compact"/>
      </w:pPr>
      <w:r>
        <w:rPr>
          <w:bCs/>
          <w:b/>
        </w:rPr>
        <w:t xml:space="preserve">Nutrients (TN and TP):</w:t>
      </w:r>
      <w:r>
        <w:t xml:space="preserve"> </w:t>
      </w:r>
      <w:r>
        <w:t xml:space="preserve">Analyzed using spectrophotometry after appropriate digestion and color development.</w:t>
      </w:r>
    </w:p>
    <w:p>
      <w:pPr>
        <w:numPr>
          <w:ilvl w:val="0"/>
          <w:numId w:val="1001"/>
        </w:numPr>
        <w:pStyle w:val="Compact"/>
      </w:pPr>
      <w:r>
        <w:rPr>
          <w:bCs/>
          <w:b/>
        </w:rPr>
        <w:t xml:space="preserve">Heavy Metals:</w:t>
      </w:r>
      <w:r>
        <w:t xml:space="preserve"> </w:t>
      </w:r>
      <w:r>
        <w:t xml:space="preserve">Determined using Inductively Coupled Plasma Mass Spectrometry (ICP-MS) for high sensitivity and accuracy.</w:t>
      </w:r>
    </w:p>
    <w:p>
      <w:pPr>
        <w:numPr>
          <w:ilvl w:val="0"/>
          <w:numId w:val="1001"/>
        </w:numPr>
        <w:pStyle w:val="Compact"/>
      </w:pPr>
      <w:r>
        <w:rPr>
          <w:bCs/>
          <w:b/>
        </w:rPr>
        <w:t xml:space="preserve">pH and Dissolved Oxygen:</w:t>
      </w:r>
      <w:r>
        <w:t xml:space="preserve"> </w:t>
      </w:r>
      <w:r>
        <w:t xml:space="preserve">Measured in situ using calibrated multi-parameter sondes.</w:t>
      </w:r>
    </w:p>
    <w:bookmarkEnd w:id="23"/>
    <w:bookmarkEnd w:id="24"/>
    <w:bookmarkStart w:id="25" w:name="X821d2f34bdaf57637cbbf49b6dc1cefe6766a7d"/>
    <w:p>
      <w:pPr>
        <w:pStyle w:val="Heading2"/>
      </w:pPr>
      <w:r>
        <w:t xml:space="preserve">4. Quality Assurance and Quality Control (QA/QC)</w:t>
      </w:r>
    </w:p>
    <w:p>
      <w:pPr>
        <w:pStyle w:val="FirstParagraph"/>
      </w:pPr>
      <w:r>
        <w:t xml:space="preserve">To ensure the reliability and accuracy of the data, strict QA/QC measures will be implemented. The Environmental Engineer will include field blanks, trip blanks, and duplicate samples in each sampling event. Laboratory analyses will include certified reference materials and calibration checks for all instruments.</w:t>
      </w:r>
    </w:p>
    <w:p>
      <w:pPr>
        <w:pStyle w:val="BodyText"/>
      </w:pPr>
      <w:r>
        <w:t xml:space="preserve">Any deviations from the expected results or instrument performance will be documented and investigated. Data will be reviewed for outliers and inconsistencies before final analysis. This rigorous approach is essential for maintaining the integrity of the experiment and ensuring that the findings are robust and defensible.</w:t>
      </w:r>
    </w:p>
    <w:bookmarkEnd w:id="25"/>
    <w:bookmarkStart w:id="26" w:name="safety-and-environmental-considerations"/>
    <w:p>
      <w:pPr>
        <w:pStyle w:val="Heading2"/>
      </w:pPr>
      <w:r>
        <w:t xml:space="preserve">5. Safety and Environmental Considerations</w:t>
      </w:r>
    </w:p>
    <w:p>
      <w:pPr>
        <w:pStyle w:val="FirstParagraph"/>
      </w:pPr>
      <w:r>
        <w:t xml:space="preserve">The safety of the Environmental Engineer and field personnel is paramount. All team members will be equipped with appropriate personal protective equipment (PPE), including life jackets, gloves, and safety boots. Fieldwork will be conducted in pairs, and communication devices will be used to maintain contact with the base station.</w:t>
      </w:r>
    </w:p>
    <w:p>
      <w:pPr>
        <w:pStyle w:val="BodyText"/>
      </w:pPr>
      <w:r>
        <w:t xml:space="preserve">Additionally, the experiment will be designed to minimize environmental impact. Sampling activities will be conducted with care to avoid disturbing aquatic habitats, and all waste materials will be disposed of in accordance with local regulations in Japan Osaka.</w:t>
      </w:r>
    </w:p>
    <w:bookmarkEnd w:id="26"/>
    <w:bookmarkStart w:id="27" w:name="data-analysis-and-reporting"/>
    <w:p>
      <w:pPr>
        <w:pStyle w:val="Heading2"/>
      </w:pPr>
      <w:r>
        <w:t xml:space="preserve">6. Data Analysis and Reporting</w:t>
      </w:r>
    </w:p>
    <w:p>
      <w:pPr>
        <w:pStyle w:val="FirstParagraph"/>
      </w:pPr>
      <w:r>
        <w:t xml:space="preserve">Collected data will be analyzed using statistical software to identify trends, correlations, and significant differences in water quality parameters across sampling sites and time periods. The Environmental Engineer will prepare a comprehensive report detailing the findings, including comparisons with regulatory standards and recommendations for improvement.</w:t>
      </w:r>
    </w:p>
    <w:p>
      <w:pPr>
        <w:pStyle w:val="BodyText"/>
      </w:pPr>
      <w:r>
        <w:t xml:space="preserve">The report will be submitted to the relevant stakeholders, including municipal authorities, environmental agencies, and academic institutions. This information will be used to guide policy decisions and enhance the environmental management of water resources in Japan Osaka.</w:t>
      </w:r>
    </w:p>
    <w:bookmarkEnd w:id="27"/>
    <w:bookmarkStart w:id="28" w:name="conclusion"/>
    <w:p>
      <w:pPr>
        <w:pStyle w:val="Heading2"/>
      </w:pPr>
      <w:r>
        <w:t xml:space="preserve">7. Conclusion</w:t>
      </w:r>
    </w:p>
    <w:p>
      <w:pPr>
        <w:pStyle w:val="FirstParagraph"/>
      </w:pPr>
      <w:r>
        <w:t xml:space="preserve">This Experiment Protocol provides a detailed framework for conducting a rigorous and scientifically sound water quality assessment in Japan Osaka. By adhering to these procedures, the Environmental Engineer will generate valuable data that contributes to the understanding and improvement of urban water quality in one of Japan's most dynamic cities. The insights gained from this study will support sustainable development and environmental protection efforts in the region.</w:t>
      </w:r>
    </w:p>
    <w:p>
      <w:pPr>
        <w:pStyle w:val="BodyText"/>
      </w:pPr>
      <w:r>
        <w:rPr>
          <w:bCs/>
          <w:b/>
        </w:rPr>
        <w:t xml:space="preserve">Disclaimer:</w:t>
      </w:r>
      <w:r>
        <w:t xml:space="preserve"> </w:t>
      </w:r>
      <w:r>
        <w:t xml:space="preserve">This document is intended for professional use by qualified Environmental Engineers. All procedures must be performed in accordance with local laws and regulations in Japan Osaka.</w:t>
      </w:r>
    </w:p>
    <w:p>
      <w:pPr>
        <w:pStyle w:val="BodyText"/>
      </w:pPr>
      <w:r>
        <w:t xml:space="preserve">© 2023 Environmental Research Institute, Japan Osaka.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 in Japan Osaka</dc:title>
  <dc:creator/>
  <dc:language>en</dc:language>
  <cp:keywords/>
  <dcterms:created xsi:type="dcterms:W3CDTF">2026-10-10T00:31:18Z</dcterms:created>
  <dcterms:modified xsi:type="dcterms:W3CDTF">2026-10-10T00:31:18Z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