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Nairobi</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20" w:name="X89505ea9c44739e9642bac23e4292e5298bdf95"/>
    <w:p>
      <w:pPr>
        <w:pStyle w:val="Heading1"/>
      </w:pPr>
      <w:r>
        <w:t xml:space="preserve">Experiment Protocol: Urban Surface Water Quality Assessment</w:t>
      </w:r>
    </w:p>
    <w:p>
      <w:pPr>
        <w:pStyle w:val="FirstParagraph"/>
      </w:pPr>
      <w:r>
        <w:rPr>
          <w:bCs/>
          <w:b/>
        </w:rPr>
        <w:t xml:space="preserve">Project Title:</w:t>
      </w:r>
      <w:r>
        <w:t xml:space="preserve"> </w:t>
      </w:r>
      <w:r>
        <w:t xml:space="preserve">Assessment of Heavy Metal and Microplastic Contamination in the Nairobi River Basin</w:t>
      </w:r>
    </w:p>
    <w:p>
      <w:pPr>
        <w:pStyle w:val="BodyText"/>
      </w:pPr>
      <w:r>
        <w:rPr>
          <w:bCs/>
          <w:b/>
        </w:rPr>
        <w:t xml:space="preserve">Location:</w:t>
      </w:r>
      <w:r>
        <w:t xml:space="preserve"> </w:t>
      </w:r>
      <w:r>
        <w:t xml:space="preserve">Kenya, Nairobi (Specifically: Nairobi River tributaries in Industrial Area and Mathare)</w:t>
      </w:r>
    </w:p>
    <w:p>
      <w:pPr>
        <w:pStyle w:val="BodyText"/>
      </w:pPr>
      <w:r>
        <w:rPr>
          <w:bCs/>
          <w:b/>
        </w:rPr>
        <w:t xml:space="preserve">Lead Investigator:</w:t>
      </w:r>
      <w:r>
        <w:t xml:space="preserve"> </w:t>
      </w:r>
      <w:r>
        <w:t xml:space="preserve">Senior Environmental Engineer</w:t>
      </w:r>
    </w:p>
    <w:p>
      <w:pPr>
        <w:pStyle w:val="BodyText"/>
      </w:pPr>
      <w:r>
        <w:rPr>
          <w:bCs/>
          <w:b/>
        </w:rPr>
        <w:t xml:space="preserve">Date:</w:t>
      </w:r>
      <w:r>
        <w:t xml:space="preserve"> </w:t>
      </w:r>
      <w:r>
        <w:t xml:space="preserve">October 2023</w:t>
      </w:r>
    </w:p>
    <w:p>
      <w:pPr>
        <w:pStyle w:val="BodyText"/>
      </w:pPr>
      <w:r>
        <w:rPr>
          <w:bCs/>
          <w:b/>
        </w:rPr>
        <w:t xml:space="preserve">Protocol 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Nairobi, the capital city of Kenya, faces significant environmental challenges due to rapid urbanization, industrialization, and inadequate waste management infrastructure. The Nairobi River, which flows through the heart of the city, has become a primary receptor for untreated sewage, industrial effluents, and solid waste. This poses severe risks to public health and local biodiversity.</w:t>
      </w:r>
    </w:p>
    <w:p>
      <w:pPr>
        <w:pStyle w:val="BodyText"/>
      </w:pPr>
      <w:r>
        <w:t xml:space="preserve">This Experiment Protocol is designed to be executed by a qualified Environmental Engineer to quantify the levels of specific pollutants—namely heavy metals (Lead, Cadmium, Mercury) and microplastics—in the water column and sediment of the Nairobi River. The data gathered will inform remediation strategies and policy recommendations for the National Environment Management Authority (NEMA) of Kenya.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determine the concentration of heavy metals in water and sediment samples from three distinct zones of the Nairobi River.</w:t>
      </w:r>
    </w:p>
    <w:p>
      <w:pPr>
        <w:numPr>
          <w:ilvl w:val="0"/>
          <w:numId w:val="1001"/>
        </w:numPr>
        <w:pStyle w:val="Compact"/>
      </w:pPr>
      <w:r>
        <w:t xml:space="preserve">To assess the prevalence of microplastics in surface water samples.</w:t>
      </w:r>
    </w:p>
    <w:p>
      <w:pPr>
        <w:numPr>
          <w:ilvl w:val="0"/>
          <w:numId w:val="1001"/>
        </w:numPr>
        <w:pStyle w:val="Compact"/>
      </w:pPr>
      <w:r>
        <w:t xml:space="preserve">To correlate pollution levels with proximity to industrial discharge points and informal settlements.</w:t>
      </w:r>
    </w:p>
    <w:p>
      <w:pPr>
        <w:numPr>
          <w:ilvl w:val="0"/>
          <w:numId w:val="1001"/>
        </w:numPr>
        <w:pStyle w:val="Compact"/>
      </w:pPr>
      <w:r>
        <w:t xml:space="preserve">To evaluate compliance with the Kenya Bureau of Standards (KEBS) water quality guidelines.</w:t>
      </w:r>
    </w:p>
    <w:bookmarkEnd w:id="22"/>
    <w:bookmarkStart w:id="23" w:name="scope-and-study-area"/>
    <w:p>
      <w:pPr>
        <w:pStyle w:val="Heading2"/>
      </w:pPr>
      <w:r>
        <w:t xml:space="preserve">3. Scope and Study Area</w:t>
      </w:r>
    </w:p>
    <w:p>
      <w:pPr>
        <w:pStyle w:val="FirstParagraph"/>
      </w:pPr>
      <w:r>
        <w:t xml:space="preserve">The study focuses on the Nairobi River within the Nairobi County boundaries. Sampling will occur at three strategic sites selected by the Environmental Engineer based on upstream/downstream dynamics and known pollution sources:</w:t>
      </w:r>
    </w:p>
    <w:p>
      <w:pPr>
        <w:numPr>
          <w:ilvl w:val="0"/>
          <w:numId w:val="1002"/>
        </w:numPr>
        <w:pStyle w:val="Compact"/>
      </w:pPr>
      <w:r>
        <w:rPr>
          <w:bCs/>
          <w:b/>
        </w:rPr>
        <w:t xml:space="preserve">Site A (Control):</w:t>
      </w:r>
      <w:r>
        <w:t xml:space="preserve"> </w:t>
      </w:r>
      <w:r>
        <w:t xml:space="preserve">Upstream near Karura Forest (Low anthropogenic impact).</w:t>
      </w:r>
    </w:p>
    <w:p>
      <w:pPr>
        <w:numPr>
          <w:ilvl w:val="0"/>
          <w:numId w:val="1002"/>
        </w:numPr>
        <w:pStyle w:val="Compact"/>
      </w:pPr>
      <w:r>
        <w:rPr>
          <w:bCs/>
          <w:b/>
        </w:rPr>
        <w:t xml:space="preserve">Site B (Industrial):</w:t>
      </w:r>
      <w:r>
        <w:t xml:space="preserve"> </w:t>
      </w:r>
      <w:r>
        <w:t xml:space="preserve">Downstream of the Industrial Area (High chemical discharge risk).</w:t>
      </w:r>
    </w:p>
    <w:p>
      <w:pPr>
        <w:numPr>
          <w:ilvl w:val="0"/>
          <w:numId w:val="1002"/>
        </w:numPr>
        <w:pStyle w:val="Compact"/>
      </w:pPr>
      <w:r>
        <w:rPr>
          <w:bCs/>
          <w:b/>
        </w:rPr>
        <w:t xml:space="preserve">Site C (Residential):</w:t>
      </w:r>
      <w:r>
        <w:t xml:space="preserve"> </w:t>
      </w:r>
      <w:r>
        <w:t xml:space="preserve">Near Mathare Slum (High domestic sewage and solid waste input).</w:t>
      </w:r>
    </w:p>
    <w:bookmarkEnd w:id="23"/>
    <w:bookmarkStart w:id="24" w:name="materials-and-equipment"/>
    <w:p>
      <w:pPr>
        <w:pStyle w:val="Heading2"/>
      </w:pPr>
      <w:r>
        <w:t xml:space="preserve">4. Materials and Equipment</w:t>
      </w:r>
    </w:p>
    <w:p>
      <w:pPr>
        <w:pStyle w:val="FirstParagraph"/>
      </w:pPr>
      <w:r>
        <w:t xml:space="preserve">The Environmental Engineer must ensure the following equipment is calibrated and available prior to fieldwork: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Purpose</w:t>
            </w:r>
          </w:p>
        </w:tc>
      </w:tr>
      <w:tr>
        <w:tc>
          <w:tcPr/>
          <w:p>
            <w:pPr>
              <w:pStyle w:val="Compact"/>
              <w:jc w:val="left"/>
            </w:pPr>
            <w:r>
              <w:t xml:space="preserve">Acid-washed HDPE Bottles (500ml)</w:t>
            </w:r>
          </w:p>
        </w:tc>
        <w:tc>
          <w:tcPr/>
          <w:p>
            <w:pPr>
              <w:pStyle w:val="Compact"/>
              <w:jc w:val="left"/>
            </w:pPr>
            <w:r>
              <w:t xml:space="preserve">30</w:t>
            </w:r>
          </w:p>
        </w:tc>
        <w:tc>
          <w:tcPr/>
          <w:p>
            <w:pPr>
              <w:pStyle w:val="Compact"/>
              <w:jc w:val="left"/>
            </w:pPr>
            <w:r>
              <w:t xml:space="preserve">Water sample collection for metals</w:t>
            </w:r>
          </w:p>
        </w:tc>
      </w:tr>
      <w:tr>
        <w:tc>
          <w:tcPr/>
          <w:p>
            <w:pPr>
              <w:pStyle w:val="Compact"/>
              <w:jc w:val="left"/>
            </w:pPr>
            <w:r>
              <w:t xml:space="preserve">Van Dorn Sampler</w:t>
            </w:r>
          </w:p>
        </w:tc>
        <w:tc>
          <w:tcPr/>
          <w:p>
            <w:pPr>
              <w:pStyle w:val="Compact"/>
              <w:jc w:val="left"/>
            </w:pPr>
            <w:r>
              <w:t xml:space="preserve">1</w:t>
            </w:r>
          </w:p>
        </w:tc>
        <w:tc>
          <w:tcPr/>
          <w:p>
            <w:pPr>
              <w:pStyle w:val="Compact"/>
              <w:jc w:val="left"/>
            </w:pPr>
            <w:r>
              <w:t xml:space="preserve">Sub-surface water collection</w:t>
            </w:r>
          </w:p>
        </w:tc>
      </w:tr>
      <w:tr>
        <w:tc>
          <w:tcPr/>
          <w:p>
            <w:pPr>
              <w:pStyle w:val="Compact"/>
              <w:jc w:val="left"/>
            </w:pPr>
            <w:r>
              <w:t xml:space="preserve">Grab Sampler / Core Sampler</w:t>
            </w:r>
          </w:p>
        </w:tc>
        <w:tc>
          <w:tcPr/>
          <w:p>
            <w:pPr>
              <w:pStyle w:val="Compact"/>
              <w:jc w:val="left"/>
            </w:pPr>
            <w:r>
              <w:t xml:space="preserve">1</w:t>
            </w:r>
          </w:p>
        </w:tc>
        <w:tc>
          <w:tcPr/>
          <w:p>
            <w:pPr>
              <w:pStyle w:val="Compact"/>
              <w:jc w:val="left"/>
            </w:pPr>
            <w:r>
              <w:t xml:space="preserve">Sediment collection</w:t>
            </w:r>
          </w:p>
        </w:tc>
      </w:tr>
      <w:tr>
        <w:tc>
          <w:tcPr/>
          <w:p>
            <w:pPr>
              <w:pStyle w:val="Compact"/>
              <w:jc w:val="left"/>
            </w:pPr>
            <w:r>
              <w:t xml:space="preserve">Plankton Nets (333 µm mesh)</w:t>
            </w:r>
          </w:p>
        </w:tc>
        <w:tc>
          <w:tcPr/>
          <w:p>
            <w:pPr>
              <w:pStyle w:val="Compact"/>
              <w:jc w:val="left"/>
            </w:pPr>
            <w:r>
              <w:t xml:space="preserve">3</w:t>
            </w:r>
          </w:p>
        </w:tc>
        <w:tc>
          <w:tcPr/>
          <w:p>
            <w:pPr>
              <w:pStyle w:val="Compact"/>
              <w:jc w:val="left"/>
            </w:pPr>
            <w:r>
              <w:t xml:space="preserve">Microplastic filtration</w:t>
            </w:r>
          </w:p>
        </w:tc>
      </w:tr>
      <w:tr>
        <w:tc>
          <w:tcPr/>
          <w:p>
            <w:pPr>
              <w:pStyle w:val="Compact"/>
              <w:jc w:val="left"/>
            </w:pPr>
            <w:r>
              <w:t xml:space="preserve">Portable pH/DO/Turbidity Meter</w:t>
            </w:r>
          </w:p>
        </w:tc>
        <w:tc>
          <w:tcPr/>
          <w:p>
            <w:pPr>
              <w:pStyle w:val="Compact"/>
              <w:jc w:val="left"/>
            </w:pPr>
            <w:r>
              <w:t xml:space="preserve">1</w:t>
            </w:r>
          </w:p>
        </w:tc>
        <w:tc>
          <w:tcPr/>
          <w:p>
            <w:pPr>
              <w:pStyle w:val="Compact"/>
              <w:jc w:val="left"/>
            </w:pPr>
            <w:r>
              <w:t xml:space="preserve">In-situ physicochemical measurements</w:t>
            </w:r>
          </w:p>
        </w:tc>
      </w:tr>
      <w:tr>
        <w:tc>
          <w:tcPr/>
          <w:p>
            <w:pPr>
              <w:pStyle w:val="Compact"/>
              <w:jc w:val="left"/>
            </w:pPr>
            <w:r>
              <w:t xml:space="preserve">GPS Unit</w:t>
            </w:r>
          </w:p>
        </w:tc>
        <w:tc>
          <w:tcPr/>
          <w:p>
            <w:pPr>
              <w:pStyle w:val="Compact"/>
              <w:jc w:val="left"/>
            </w:pPr>
            <w:r>
              <w:t xml:space="preserve">1</w:t>
            </w:r>
          </w:p>
        </w:tc>
        <w:tc>
          <w:tcPr/>
          <w:p>
            <w:pPr>
              <w:pStyle w:val="Compact"/>
              <w:jc w:val="left"/>
            </w:pPr>
            <w:r>
              <w:t xml:space="preserve">Geotagging sampling points</w:t>
            </w:r>
          </w:p>
        </w:tc>
      </w:tr>
      <w:tr>
        <w:tc>
          <w:tcPr/>
          <w:p>
            <w:pPr>
              <w:pStyle w:val="Compact"/>
              <w:jc w:val="left"/>
            </w:pPr>
            <w:r>
              <w:t xml:space="preserve">Ice Chests with Ice Packs</w:t>
            </w:r>
          </w:p>
        </w:tc>
        <w:tc>
          <w:tcPr/>
          <w:p>
            <w:pPr>
              <w:pStyle w:val="Compact"/>
              <w:jc w:val="left"/>
            </w:pPr>
            <w:r>
              <w:t xml:space="preserve">2</w:t>
            </w:r>
          </w:p>
        </w:tc>
        <w:tc>
          <w:tcPr/>
          <w:p>
            <w:pPr>
              <w:pStyle w:val="Compact"/>
              <w:jc w:val="left"/>
            </w:pPr>
            <w:r>
              <w:t xml:space="preserve">Sample preservation (4°C)</w:t>
            </w:r>
          </w:p>
        </w:tc>
      </w:tr>
      <w:tr>
        <w:tc>
          <w:tcPr/>
          <w:p>
            <w:pPr>
              <w:pStyle w:val="Compact"/>
              <w:jc w:val="left"/>
            </w:pPr>
            <w:r>
              <w:t xml:space="preserve">Personal Protective Equipment (PPE)</w:t>
            </w:r>
          </w:p>
        </w:tc>
        <w:tc>
          <w:tcPr/>
          <w:p>
            <w:pPr>
              <w:pStyle w:val="Compact"/>
              <w:jc w:val="left"/>
            </w:pPr>
            <w:r>
              <w:t xml:space="preserve">Set</w:t>
            </w:r>
          </w:p>
        </w:tc>
        <w:tc>
          <w:tcPr/>
          <w:p>
            <w:pPr>
              <w:pStyle w:val="Compact"/>
              <w:jc w:val="left"/>
            </w:pPr>
            <w:r>
              <w:t xml:space="preserve">Safety (Gloves, Boots, Masks)</w:t>
            </w:r>
          </w:p>
        </w:tc>
      </w:tr>
    </w:tbl>
    <w:bookmarkEnd w:id="24"/>
    <w:bookmarkStart w:id="28" w:name="methodology"/>
    <w:p>
      <w:pPr>
        <w:pStyle w:val="Heading2"/>
      </w:pPr>
      <w:r>
        <w:t xml:space="preserve">5. Methodology</w:t>
      </w:r>
    </w:p>
    <w:bookmarkStart w:id="25" w:name="pre-field-preparation"/>
    <w:p>
      <w:pPr>
        <w:pStyle w:val="Heading3"/>
      </w:pPr>
      <w:r>
        <w:t xml:space="preserve">5.1 Pre-Field Preparation</w:t>
      </w:r>
    </w:p>
    <w:p>
      <w:pPr>
        <w:pStyle w:val="FirstParagraph"/>
      </w:pPr>
      <w:r>
        <w:t xml:space="preserve">The Environmental Engineer must obtain necessary permits from NEMA and the Nairobi City County Government. All glassware and plastic containers must be acid-washed (10% HNO3) and rinsed with deionized water to prevent contamination. A chain-of-custody form must be prepared for each sample.</w:t>
      </w:r>
    </w:p>
    <w:bookmarkEnd w:id="25"/>
    <w:bookmarkStart w:id="26" w:name="field-sampling-procedure"/>
    <w:p>
      <w:pPr>
        <w:pStyle w:val="Heading3"/>
      </w:pPr>
      <w:r>
        <w:t xml:space="preserve">5.2 Field Sampling Procedure</w:t>
      </w:r>
    </w:p>
    <w:p>
      <w:pPr>
        <w:pStyle w:val="FirstParagraph"/>
      </w:pPr>
      <w:r>
        <w:t xml:space="preserve">Sampling will be conducted during the dry season to minimize dilution effects from rainfall. At each site (A, B, and C), the following steps will be taken:</w:t>
      </w:r>
    </w:p>
    <w:p>
      <w:pPr>
        <w:numPr>
          <w:ilvl w:val="0"/>
          <w:numId w:val="1003"/>
        </w:numPr>
        <w:pStyle w:val="Compact"/>
      </w:pPr>
      <w:r>
        <w:rPr>
          <w:bCs/>
          <w:b/>
        </w:rPr>
        <w:t xml:space="preserve">Site Characterization:</w:t>
      </w:r>
      <w:r>
        <w:t xml:space="preserve"> </w:t>
      </w:r>
      <w:r>
        <w:t xml:space="preserve">Record GPS coordinates, weather conditions, and visual observations (e.g., presence of foam, odor, visible waste).</w:t>
      </w:r>
    </w:p>
    <w:p>
      <w:pPr>
        <w:numPr>
          <w:ilvl w:val="0"/>
          <w:numId w:val="1003"/>
        </w:numPr>
        <w:pStyle w:val="Compact"/>
      </w:pPr>
      <w:r>
        <w:rPr>
          <w:bCs/>
          <w:b/>
        </w:rPr>
        <w:t xml:space="preserve">In-situ Measurements:</w:t>
      </w:r>
      <w:r>
        <w:t xml:space="preserve"> </w:t>
      </w:r>
      <w:r>
        <w:t xml:space="preserve">Measure pH, Dissolved Oxygen (DO), Temperature, and Turbidity using the calibrated portable meter. Take three readings at each site and record the average.</w:t>
      </w:r>
    </w:p>
    <w:p>
      <w:pPr>
        <w:numPr>
          <w:ilvl w:val="0"/>
          <w:numId w:val="1003"/>
        </w:numPr>
        <w:pStyle w:val="Compact"/>
      </w:pPr>
      <w:r>
        <w:rPr>
          <w:bCs/>
          <w:b/>
        </w:rPr>
        <w:t xml:space="preserve">Water Sampling:</w:t>
      </w:r>
    </w:p>
    <w:p>
      <w:pPr>
        <w:numPr>
          <w:ilvl w:val="1"/>
          <w:numId w:val="1004"/>
        </w:numPr>
        <w:pStyle w:val="Compact"/>
      </w:pPr>
      <w:r>
        <w:t xml:space="preserve">Use the Van Dorn sampler to collect water from 30cm below the surface.</w:t>
      </w:r>
    </w:p>
    <w:p>
      <w:pPr>
        <w:numPr>
          <w:ilvl w:val="1"/>
          <w:numId w:val="1004"/>
        </w:numPr>
        <w:pStyle w:val="Compact"/>
      </w:pPr>
      <w:r>
        <w:t xml:space="preserve">For heavy metal analysis, fill acid-washed bottles immediately. Add concentrated HNO3 to adjust pH &lt; 2.</w:t>
      </w:r>
    </w:p>
    <w:p>
      <w:pPr>
        <w:numPr>
          <w:ilvl w:val="1"/>
          <w:numId w:val="1004"/>
        </w:numPr>
        <w:pStyle w:val="Compact"/>
      </w:pPr>
      <w:r>
        <w:t xml:space="preserve">For microplastic analysis, filter 50 liters of water through the plankton net. Preserve the net contents in glass jars with ethanol.</w:t>
      </w:r>
    </w:p>
    <w:p>
      <w:pPr>
        <w:numPr>
          <w:ilvl w:val="0"/>
          <w:numId w:val="1003"/>
        </w:numPr>
        <w:pStyle w:val="Compact"/>
      </w:pPr>
      <w:r>
        <w:rPr>
          <w:bCs/>
          <w:b/>
        </w:rPr>
        <w:t xml:space="preserve">Sediment Sampling:</w:t>
      </w:r>
    </w:p>
    <w:p>
      <w:pPr>
        <w:numPr>
          <w:ilvl w:val="1"/>
          <w:numId w:val="1005"/>
        </w:numPr>
        <w:pStyle w:val="Compact"/>
      </w:pPr>
      <w:r>
        <w:t xml:space="preserve">Use the grab sampler to collect surface sediment (top 5cm).</w:t>
      </w:r>
    </w:p>
    <w:p>
      <w:pPr>
        <w:numPr>
          <w:ilvl w:val="1"/>
          <w:numId w:val="1005"/>
        </w:numPr>
        <w:pStyle w:val="Compact"/>
      </w:pPr>
      <w:r>
        <w:t xml:space="preserve">Place samples in pre-cleaned polyethylene bags. Keep samples cool and dark.</w:t>
      </w:r>
    </w:p>
    <w:bookmarkEnd w:id="26"/>
    <w:bookmarkStart w:id="27" w:name="laboratory-analysis"/>
    <w:p>
      <w:pPr>
        <w:pStyle w:val="Heading3"/>
      </w:pPr>
      <w:r>
        <w:t xml:space="preserve">5.3 Laboratory Analysis</w:t>
      </w:r>
    </w:p>
    <w:p>
      <w:pPr>
        <w:pStyle w:val="FirstParagraph"/>
      </w:pPr>
      <w:r>
        <w:t xml:space="preserve">Samples will be transported to an accredited laboratory in Nairobi within 24 hours.</w:t>
      </w:r>
    </w:p>
    <w:p>
      <w:pPr>
        <w:numPr>
          <w:ilvl w:val="0"/>
          <w:numId w:val="1006"/>
        </w:numPr>
        <w:pStyle w:val="Compact"/>
      </w:pPr>
      <w:r>
        <w:rPr>
          <w:bCs/>
          <w:b/>
        </w:rPr>
        <w:t xml:space="preserve">Heavy Metals:</w:t>
      </w:r>
      <w:r>
        <w:t xml:space="preserve"> </w:t>
      </w:r>
      <w:r>
        <w:t xml:space="preserve">Analyzed using Inductively Coupled Plasma Mass Spectrometry (ICP-MS).</w:t>
      </w:r>
    </w:p>
    <w:p>
      <w:pPr>
        <w:numPr>
          <w:ilvl w:val="0"/>
          <w:numId w:val="1006"/>
        </w:numPr>
        <w:pStyle w:val="Compact"/>
      </w:pPr>
      <w:r>
        <w:rPr>
          <w:bCs/>
          <w:b/>
        </w:rPr>
        <w:t xml:space="preserve">Microplastics:</w:t>
      </w:r>
      <w:r>
        <w:t xml:space="preserve"> </w:t>
      </w:r>
      <w:r>
        <w:t xml:space="preserve">Identified using Fourier Transform Infrared Spectroscopy (FTIR) after digestion of organic matter with H2O2.</w:t>
      </w:r>
    </w:p>
    <w:bookmarkEnd w:id="27"/>
    <w:bookmarkEnd w:id="28"/>
    <w:bookmarkStart w:id="29" w:name="health-and-safety"/>
    <w:p>
      <w:pPr>
        <w:pStyle w:val="Heading2"/>
      </w:pPr>
      <w:r>
        <w:t xml:space="preserve">6. Health and Safety</w:t>
      </w:r>
    </w:p>
    <w:p>
      <w:pPr>
        <w:pStyle w:val="FirstParagraph"/>
      </w:pPr>
      <w:r>
        <w:rPr>
          <w:bCs/>
          <w:b/>
        </w:rPr>
        <w:t xml:space="preserve">WARNING:</w:t>
      </w:r>
      <w:r>
        <w:t xml:space="preserve"> </w:t>
      </w:r>
      <w:r>
        <w:t xml:space="preserve">The Nairobi River contains hazardous pathogens and chemicals. Strict adherence to safety protocols is mandatory.</w:t>
      </w:r>
    </w:p>
    <w:p>
      <w:pPr>
        <w:numPr>
          <w:ilvl w:val="0"/>
          <w:numId w:val="1007"/>
        </w:numPr>
        <w:pStyle w:val="Compact"/>
      </w:pPr>
      <w:r>
        <w:t xml:space="preserve">All field personnel must wear waterproof boots, nitrile gloves, and N95 masks.</w:t>
      </w:r>
    </w:p>
    <w:p>
      <w:pPr>
        <w:numPr>
          <w:ilvl w:val="0"/>
          <w:numId w:val="1007"/>
        </w:numPr>
        <w:pStyle w:val="Compact"/>
      </w:pPr>
      <w:r>
        <w:t xml:space="preserve">Do not consume food or water at the sampling sites.</w:t>
      </w:r>
    </w:p>
    <w:p>
      <w:pPr>
        <w:numPr>
          <w:ilvl w:val="0"/>
          <w:numId w:val="1007"/>
        </w:numPr>
        <w:pStyle w:val="Compact"/>
      </w:pPr>
      <w:r>
        <w:t xml:space="preserve">Wash hands thoroughly with soap and water immediately after handling samples.</w:t>
      </w:r>
    </w:p>
    <w:p>
      <w:pPr>
        <w:numPr>
          <w:ilvl w:val="0"/>
          <w:numId w:val="1007"/>
        </w:numPr>
        <w:pStyle w:val="Compact"/>
      </w:pPr>
      <w:r>
        <w:t xml:space="preserve">Dispose of chemical waste (acids) according to NEMA hazardous waste guidelines.</w:t>
      </w:r>
    </w:p>
    <w:bookmarkEnd w:id="29"/>
    <w:bookmarkStart w:id="30" w:name="data-analysis-and-reporting"/>
    <w:p>
      <w:pPr>
        <w:pStyle w:val="Heading2"/>
      </w:pPr>
      <w:r>
        <w:t xml:space="preserve">7. Data Analysis and Reporting</w:t>
      </w:r>
    </w:p>
    <w:p>
      <w:pPr>
        <w:pStyle w:val="FirstParagraph"/>
      </w:pPr>
      <w:r>
        <w:t xml:space="preserve">The Environmental Engineer will compile the data into a comprehensive report. Statistical analysis will be performed to compare pollutant levels across the three sites. Results will be benchmarked against:</w:t>
      </w:r>
    </w:p>
    <w:p>
      <w:pPr>
        <w:numPr>
          <w:ilvl w:val="0"/>
          <w:numId w:val="1008"/>
        </w:numPr>
        <w:pStyle w:val="Compact"/>
      </w:pPr>
      <w:r>
        <w:t xml:space="preserve">Kenya Bureau of Standards (KS EAS 12:2018) for surface water quality.</w:t>
      </w:r>
    </w:p>
    <w:p>
      <w:pPr>
        <w:numPr>
          <w:ilvl w:val="0"/>
          <w:numId w:val="1008"/>
        </w:numPr>
        <w:pStyle w:val="Compact"/>
      </w:pPr>
      <w:r>
        <w:t xml:space="preserve">World Health Organization (WHO) guidelines for drinking water quality.</w:t>
      </w:r>
    </w:p>
    <w:p>
      <w:pPr>
        <w:pStyle w:val="FirstParagraph"/>
      </w:pPr>
      <w:r>
        <w:t xml:space="preserve">The final report will include recommendations for mitigation, such as improved effluent treatment for industries in the Nairobi Industrial Area and community sensitization programs in riparian settlements.</w:t>
      </w:r>
    </w:p>
    <w:bookmarkEnd w:id="30"/>
    <w:p>
      <w:pPr>
        <w:pStyle w:val="BodyText"/>
      </w:pPr>
      <w:r>
        <w:rPr>
          <w:iCs/>
          <w:i/>
        </w:rPr>
        <w:t xml:space="preserve">Document prepared for internal use by the Environmental Engineering Department.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Nairobi Urban Water Quality Assessment</dc:title>
  <dc:creator/>
  <dc:language>en</dc:language>
  <cp:keywords/>
  <dcterms:created xsi:type="dcterms:W3CDTF">2026-10-10T03:34:23Z</dcterms:created>
  <dcterms:modified xsi:type="dcterms:W3CDTF">2026-10-10T03:34:23Z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