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Urban</w:t>
      </w:r>
      <w:r>
        <w:t xml:space="preserve"> </w:t>
      </w:r>
      <w:r>
        <w:t xml:space="preserve">Air</w:t>
      </w:r>
      <w:r>
        <w:t xml:space="preserve"> </w:t>
      </w:r>
      <w:r>
        <w:t xml:space="preserve">Quality</w:t>
      </w:r>
      <w:r>
        <w:t xml:space="preserve"> </w:t>
      </w:r>
      <w:r>
        <w:t xml:space="preserve">and</w:t>
      </w:r>
      <w:r>
        <w:t xml:space="preserve"> </w:t>
      </w:r>
      <w:r>
        <w:t xml:space="preserve">Particulate</w:t>
      </w:r>
      <w:r>
        <w:t xml:space="preserve"> </w:t>
      </w:r>
      <w:r>
        <w:t xml:space="preserve">Matter</w:t>
      </w:r>
      <w:r>
        <w:t xml:space="preserve"> </w:t>
      </w:r>
      <w:r>
        <w:t xml:space="preserve">Analysis</w:t>
      </w:r>
    </w:p>
    <w:bookmarkStart w:id="32" w:name="X90cfcadd6910d8fa69df12817a6a36b3d67b5b0"/>
    <w:p>
      <w:pPr>
        <w:pStyle w:val="Heading1"/>
      </w:pPr>
      <w:r>
        <w:t xml:space="preserve">Experiment Protocol: Assessment of PM2.5 and NO2 Levels in High-Density Urban Zones</w:t>
      </w:r>
    </w:p>
    <w:p>
      <w:pPr>
        <w:pStyle w:val="FirstParagraph"/>
      </w:pPr>
      <w:r>
        <w:rPr>
          <w:bCs/>
          <w:b/>
        </w:rPr>
        <w:t xml:space="preserve">Document ID:</w:t>
      </w:r>
      <w:r>
        <w:t xml:space="preserve"> </w:t>
      </w:r>
      <w:r>
        <w:t xml:space="preserve">KL-ENV-EXP-2023-004</w:t>
      </w:r>
    </w:p>
    <w:p>
      <w:pPr>
        <w:pStyle w:val="BodyText"/>
      </w:pPr>
      <w:r>
        <w:rPr>
          <w:bCs/>
          <w:b/>
        </w:rPr>
        <w:t xml:space="preserve">Location:</w:t>
      </w:r>
      <w:r>
        <w:t xml:space="preserve"> </w:t>
      </w:r>
      <w:r>
        <w:t xml:space="preserve">Malaysia Kuala Lumpur (Specifically: KLCC, Bukit Bintang, and Sentul)</w:t>
      </w:r>
    </w:p>
    <w:p>
      <w:pPr>
        <w:pStyle w:val="BodyText"/>
      </w:pPr>
      <w:r>
        <w:rPr>
          <w:bCs/>
          <w:b/>
        </w:rPr>
        <w:t xml:space="preserve">Role:</w:t>
      </w:r>
      <w:r>
        <w:t xml:space="preserve"> </w:t>
      </w:r>
      <w:r>
        <w:t xml:space="preserve">Environmental Engineer</w:t>
      </w:r>
    </w:p>
    <w:p>
      <w:pPr>
        <w:pStyle w:val="BodyText"/>
      </w:pPr>
      <w:r>
        <w:rPr>
          <w:bCs/>
          <w:b/>
        </w:rPr>
        <w:t xml:space="preserve">Date:</w:t>
      </w:r>
      <w:r>
        <w:t xml:space="preserve"> </w:t>
      </w:r>
      <w:r>
        <w:t xml:space="preserve">October 24, 2023</w:t>
      </w:r>
    </w:p>
    <w:p>
      <w:pPr>
        <w:pStyle w:val="BodyText"/>
      </w:pPr>
      <w:r>
        <w:rPr>
          <w:bCs/>
          <w:b/>
        </w:rPr>
        <w:t xml:space="preserve">Regulatory Framework:</w:t>
      </w:r>
      <w:r>
        <w:t xml:space="preserve"> </w:t>
      </w:r>
      <w:r>
        <w:t xml:space="preserve">Department of Environment (DOE) Malaysia, Ambient Air Quality Standard (AAQS) 2014</w:t>
      </w:r>
    </w:p>
    <w:bookmarkStart w:id="20" w:name="objective"/>
    <w:p>
      <w:pPr>
        <w:pStyle w:val="Heading2"/>
      </w:pPr>
      <w:r>
        <w:t xml:space="preserve">1. Objective</w:t>
      </w:r>
    </w:p>
    <w:p>
      <w:pPr>
        <w:pStyle w:val="FirstParagraph"/>
      </w:pPr>
      <w:r>
        <w:t xml:space="preserve">The primary objective of this experiment protocol is to quantify the concentration of fine particulate matter (PM2.5) and nitrogen dioxide (NO2) in selected high-traffic and high-density urban areas of Malaysia Kuala Lumpur. As an Environmental Engineer, the goal is to correlate traffic density and industrial activity with air quality degradation, ensuring compliance with national standards and identifying hotspots requiring immediate mitigation strategies.</w:t>
      </w:r>
    </w:p>
    <w:bookmarkEnd w:id="20"/>
    <w:bookmarkStart w:id="21" w:name="background-and-context"/>
    <w:p>
      <w:pPr>
        <w:pStyle w:val="Heading2"/>
      </w:pPr>
      <w:r>
        <w:t xml:space="preserve">2. Background and Context</w:t>
      </w:r>
    </w:p>
    <w:p>
      <w:pPr>
        <w:pStyle w:val="FirstParagraph"/>
      </w:pPr>
      <w:r>
        <w:t xml:space="preserve">Malaysia Kuala Lumpur faces unique environmental challenges due to rapid urbanization, heavy vehicular traffic, and geographical factors that trap pollutants. The Environmental Engineer must account for the tropical climate, which influences dispersion rates, and the specific emission profiles of the region. This protocol is designed to provide empirical data to support urban planning and pollution control measures.</w:t>
      </w:r>
    </w:p>
    <w:bookmarkEnd w:id="21"/>
    <w:bookmarkStart w:id="22" w:name="safety-and-regulatory-compliance"/>
    <w:p>
      <w:pPr>
        <w:pStyle w:val="Heading2"/>
      </w:pPr>
      <w:r>
        <w:t xml:space="preserve">3. Safety and Regulatory Compliance</w:t>
      </w:r>
    </w:p>
    <w:p>
      <w:pPr>
        <w:pStyle w:val="FirstParagraph"/>
      </w:pPr>
      <w:r>
        <w:rPr>
          <w:bCs/>
          <w:b/>
        </w:rPr>
        <w:t xml:space="preserve">WARNING:</w:t>
      </w:r>
      <w:r>
        <w:t xml:space="preserve"> </w:t>
      </w:r>
      <w:r>
        <w:t xml:space="preserve">All personnel must adhere to the Occupational Safety and Health Act 1994 (OSHA) of Malaysia. Personal Protective Equipment (PPE) is mandatory.</w:t>
      </w:r>
    </w:p>
    <w:p>
      <w:pPr>
        <w:numPr>
          <w:ilvl w:val="0"/>
          <w:numId w:val="1001"/>
        </w:numPr>
        <w:pStyle w:val="Compact"/>
      </w:pPr>
      <w:r>
        <w:rPr>
          <w:bCs/>
          <w:b/>
        </w:rPr>
        <w:t xml:space="preserve">PPE:</w:t>
      </w:r>
      <w:r>
        <w:t xml:space="preserve"> </w:t>
      </w:r>
      <w:r>
        <w:t xml:space="preserve">N95 respirators, safety goggles, high-visibility vests, and closed-toe shoes.</w:t>
      </w:r>
    </w:p>
    <w:p>
      <w:pPr>
        <w:numPr>
          <w:ilvl w:val="0"/>
          <w:numId w:val="1001"/>
        </w:numPr>
        <w:pStyle w:val="Compact"/>
      </w:pPr>
      <w:r>
        <w:rPr>
          <w:bCs/>
          <w:b/>
        </w:rPr>
        <w:t xml:space="preserve">Permits:</w:t>
      </w:r>
      <w:r>
        <w:t xml:space="preserve"> </w:t>
      </w:r>
      <w:r>
        <w:t xml:space="preserve">Ensure all sampling activities are approved by the local municipal council (DBKL) and the Department of Environment (DOE).</w:t>
      </w:r>
    </w:p>
    <w:p>
      <w:pPr>
        <w:numPr>
          <w:ilvl w:val="0"/>
          <w:numId w:val="1001"/>
        </w:numPr>
        <w:pStyle w:val="Compact"/>
      </w:pPr>
      <w:r>
        <w:rPr>
          <w:bCs/>
          <w:b/>
        </w:rPr>
        <w:t xml:space="preserve">Calibration:</w:t>
      </w:r>
      <w:r>
        <w:t xml:space="preserve"> </w:t>
      </w:r>
      <w:r>
        <w:t xml:space="preserve">All instruments must be calibrated according to manufacturer specifications and DOE guidelines prior to deployment.</w:t>
      </w:r>
    </w:p>
    <w:bookmarkEnd w:id="22"/>
    <w:bookmarkStart w:id="23" w:name="materials-and-equipment"/>
    <w:p>
      <w:pPr>
        <w:pStyle w:val="Heading2"/>
      </w:pPr>
      <w:r>
        <w:t xml:space="preserve">4. Materials and Equipment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Specification</w:t>
            </w:r>
          </w:p>
        </w:tc>
        <w:tc>
          <w:tcPr/>
          <w:p>
            <w:pPr>
              <w:pStyle w:val="Compact"/>
              <w:jc w:val="left"/>
            </w:pPr>
            <w:r>
              <w:t xml:space="preserve">Quantity</w:t>
            </w:r>
          </w:p>
        </w:tc>
      </w:tr>
      <w:tr>
        <w:tc>
          <w:tcPr/>
          <w:p>
            <w:pPr>
              <w:pStyle w:val="Compact"/>
              <w:jc w:val="left"/>
            </w:pPr>
            <w:r>
              <w:t xml:space="preserve">Beta Attenuation Monitor (BAM)</w:t>
            </w:r>
          </w:p>
        </w:tc>
        <w:tc>
          <w:tcPr/>
          <w:p>
            <w:pPr>
              <w:pStyle w:val="Compact"/>
              <w:jc w:val="left"/>
            </w:pPr>
            <w:r>
              <w:t xml:space="preserve">For real-time PM2.5 measurement</w:t>
            </w:r>
          </w:p>
        </w:tc>
        <w:tc>
          <w:tcPr/>
          <w:p>
            <w:pPr>
              <w:pStyle w:val="Compact"/>
              <w:jc w:val="left"/>
            </w:pPr>
            <w:r>
              <w:t xml:space="preserve">3</w:t>
            </w:r>
          </w:p>
        </w:tc>
      </w:tr>
      <w:tr>
        <w:tc>
          <w:tcPr/>
          <w:p>
            <w:pPr>
              <w:pStyle w:val="Compact"/>
              <w:jc w:val="left"/>
            </w:pPr>
            <w:r>
              <w:t xml:space="preserve">Chemiluminescence Analyzer</w:t>
            </w:r>
          </w:p>
        </w:tc>
        <w:tc>
          <w:tcPr/>
          <w:p>
            <w:pPr>
              <w:pStyle w:val="Compact"/>
              <w:jc w:val="left"/>
            </w:pPr>
            <w:r>
              <w:t xml:space="preserve">For NO2 detection</w:t>
            </w:r>
          </w:p>
        </w:tc>
        <w:tc>
          <w:tcPr/>
          <w:p>
            <w:pPr>
              <w:pStyle w:val="Compact"/>
              <w:jc w:val="left"/>
            </w:pPr>
            <w:r>
              <w:t xml:space="preserve">3</w:t>
            </w:r>
          </w:p>
        </w:tc>
      </w:tr>
      <w:tr>
        <w:tc>
          <w:tcPr/>
          <w:p>
            <w:pPr>
              <w:pStyle w:val="Compact"/>
              <w:jc w:val="left"/>
            </w:pPr>
            <w:r>
              <w:t xml:space="preserve">Portable Weather Station</w:t>
            </w:r>
          </w:p>
        </w:tc>
        <w:tc>
          <w:tcPr/>
          <w:p>
            <w:pPr>
              <w:pStyle w:val="Compact"/>
              <w:jc w:val="left"/>
            </w:pPr>
            <w:r>
              <w:t xml:space="preserve">Measures wind speed, direction, temperature, humidity</w:t>
            </w:r>
          </w:p>
        </w:tc>
        <w:tc>
          <w:tcPr/>
          <w:p>
            <w:pPr>
              <w:pStyle w:val="Compact"/>
              <w:jc w:val="left"/>
            </w:pPr>
            <w:r>
              <w:t xml:space="preserve">3</w:t>
            </w:r>
          </w:p>
        </w:tc>
      </w:tr>
      <w:tr>
        <w:tc>
          <w:tcPr/>
          <w:p>
            <w:pPr>
              <w:pStyle w:val="Compact"/>
              <w:jc w:val="left"/>
            </w:pPr>
            <w:r>
              <w:t xml:space="preserve">GPS Unit</w:t>
            </w:r>
          </w:p>
        </w:tc>
        <w:tc>
          <w:tcPr/>
          <w:p>
            <w:pPr>
              <w:pStyle w:val="Compact"/>
              <w:jc w:val="left"/>
            </w:pPr>
            <w:r>
              <w:t xml:space="preserve">High-precision location tracking</w:t>
            </w:r>
          </w:p>
        </w:tc>
        <w:tc>
          <w:tcPr/>
          <w:p>
            <w:pPr>
              <w:pStyle w:val="Compact"/>
              <w:jc w:val="left"/>
            </w:pPr>
            <w:r>
              <w:t xml:space="preserve">3</w:t>
            </w:r>
          </w:p>
        </w:tc>
      </w:tr>
      <w:tr>
        <w:tc>
          <w:tcPr/>
          <w:p>
            <w:pPr>
              <w:pStyle w:val="Compact"/>
              <w:jc w:val="left"/>
            </w:pPr>
            <w:r>
              <w:t xml:space="preserve">Data Logger</w:t>
            </w:r>
          </w:p>
        </w:tc>
        <w:tc>
          <w:tcPr/>
          <w:p>
            <w:pPr>
              <w:pStyle w:val="Compact"/>
              <w:jc w:val="left"/>
            </w:pPr>
            <w:r>
              <w:t xml:space="preserve">Automated recording system</w:t>
            </w:r>
          </w:p>
        </w:tc>
        <w:tc>
          <w:tcPr/>
          <w:p>
            <w:pPr>
              <w:pStyle w:val="Compact"/>
              <w:jc w:val="left"/>
            </w:pPr>
            <w:r>
              <w:t xml:space="preserve">3</w:t>
            </w:r>
          </w:p>
        </w:tc>
      </w:tr>
    </w:tbl>
    <w:bookmarkEnd w:id="23"/>
    <w:bookmarkStart w:id="28" w:name="experimental-procedure"/>
    <w:p>
      <w:pPr>
        <w:pStyle w:val="Heading2"/>
      </w:pPr>
      <w:r>
        <w:t xml:space="preserve">5. Experimental Procedure</w:t>
      </w:r>
    </w:p>
    <w:bookmarkStart w:id="24" w:name="site-selection"/>
    <w:p>
      <w:pPr>
        <w:pStyle w:val="Heading3"/>
      </w:pPr>
      <w:r>
        <w:t xml:space="preserve">5.1 Site Selection</w:t>
      </w:r>
    </w:p>
    <w:p>
      <w:pPr>
        <w:pStyle w:val="FirstParagraph"/>
      </w:pPr>
      <w:r>
        <w:t xml:space="preserve">The Environmental Engineer will select three distinct sites in Malaysia Kuala Lumpur to represent different urban micro-environments:</w:t>
      </w:r>
    </w:p>
    <w:p>
      <w:pPr>
        <w:numPr>
          <w:ilvl w:val="0"/>
          <w:numId w:val="1002"/>
        </w:numPr>
        <w:pStyle w:val="Compact"/>
      </w:pPr>
      <w:r>
        <w:rPr>
          <w:bCs/>
          <w:b/>
        </w:rPr>
        <w:t xml:space="preserve">Site A (Commercial Hub):</w:t>
      </w:r>
      <w:r>
        <w:t xml:space="preserve"> </w:t>
      </w:r>
      <w:r>
        <w:t xml:space="preserve">Bukit Bintang – High pedestrian and vehicular traffic.</w:t>
      </w:r>
    </w:p>
    <w:p>
      <w:pPr>
        <w:numPr>
          <w:ilvl w:val="0"/>
          <w:numId w:val="1002"/>
        </w:numPr>
        <w:pStyle w:val="Compact"/>
      </w:pPr>
      <w:r>
        <w:rPr>
          <w:bCs/>
          <w:b/>
        </w:rPr>
        <w:t xml:space="preserve">Site B (Financial District):</w:t>
      </w:r>
      <w:r>
        <w:t xml:space="preserve"> </w:t>
      </w:r>
      <w:r>
        <w:t xml:space="preserve">KLCC – High-rise buildings, moderate traffic, potential canyon effect.</w:t>
      </w:r>
    </w:p>
    <w:p>
      <w:pPr>
        <w:numPr>
          <w:ilvl w:val="0"/>
          <w:numId w:val="1002"/>
        </w:numPr>
        <w:pStyle w:val="Compact"/>
      </w:pPr>
      <w:r>
        <w:rPr>
          <w:bCs/>
          <w:b/>
        </w:rPr>
        <w:t xml:space="preserve">Site C (Industrial/Residential Mix):</w:t>
      </w:r>
      <w:r>
        <w:t xml:space="preserve"> </w:t>
      </w:r>
      <w:r>
        <w:t xml:space="preserve">Sentul – Proximity to logistics hubs and residential areas.</w:t>
      </w:r>
    </w:p>
    <w:bookmarkEnd w:id="24"/>
    <w:bookmarkStart w:id="25" w:name="instrument-setup"/>
    <w:p>
      <w:pPr>
        <w:pStyle w:val="Heading3"/>
      </w:pPr>
      <w:r>
        <w:t xml:space="preserve">5.2 Instrument Setup</w:t>
      </w:r>
    </w:p>
    <w:p>
      <w:pPr>
        <w:pStyle w:val="FirstParagraph"/>
      </w:pPr>
      <w:r>
        <w:t xml:space="preserve">At each site, the Environmental Engineer must install the monitoring equipment at a height of 3 to 10 meters above ground level, ensuring it is at least 5 meters away from any building walls or trees to avoid obstruction. The instruments should be secured against theft and weather damage.</w:t>
      </w:r>
    </w:p>
    <w:bookmarkEnd w:id="25"/>
    <w:bookmarkStart w:id="26" w:name="sampling-duration"/>
    <w:p>
      <w:pPr>
        <w:pStyle w:val="Heading3"/>
      </w:pPr>
      <w:r>
        <w:t xml:space="preserve">5.3 Sampling Duration</w:t>
      </w:r>
    </w:p>
    <w:p>
      <w:pPr>
        <w:pStyle w:val="FirstParagraph"/>
      </w:pPr>
      <w:r>
        <w:t xml:space="preserve">Data collection will occur over a period of 14 consecutive days. Sampling will be continuous, 24 hours a day, to capture diurnal variations in pollution levels, particularly during morning and evening rush hours which are critical in Malaysia Kuala Lumpur.</w:t>
      </w:r>
    </w:p>
    <w:bookmarkEnd w:id="26"/>
    <w:bookmarkStart w:id="27" w:name="data-recording"/>
    <w:p>
      <w:pPr>
        <w:pStyle w:val="Heading3"/>
      </w:pPr>
      <w:r>
        <w:t xml:space="preserve">5.4 Data Recording</w:t>
      </w:r>
    </w:p>
    <w:p>
      <w:pPr>
        <w:pStyle w:val="FirstParagraph"/>
      </w:pPr>
      <w:r>
        <w:t xml:space="preserve">The Environmental Engineer must ensure that data loggers are set to record readings every 15 minutes. Manual checks will be performed twice daily (08:00 and 18:00) to verify equipment functionality and battery levels.</w:t>
      </w:r>
    </w:p>
    <w:bookmarkEnd w:id="27"/>
    <w:bookmarkEnd w:id="28"/>
    <w:bookmarkStart w:id="29" w:name="data-analysis"/>
    <w:p>
      <w:pPr>
        <w:pStyle w:val="Heading2"/>
      </w:pPr>
      <w:r>
        <w:t xml:space="preserve">6. Data Analysis</w:t>
      </w:r>
    </w:p>
    <w:p>
      <w:pPr>
        <w:pStyle w:val="FirstParagraph"/>
      </w:pPr>
      <w:r>
        <w:t xml:space="preserve">Upon completion of the sampling period, the Environmental Engineer will analyze the data using statistical software. Key metrics include:</w:t>
      </w:r>
    </w:p>
    <w:p>
      <w:pPr>
        <w:numPr>
          <w:ilvl w:val="0"/>
          <w:numId w:val="1003"/>
        </w:numPr>
        <w:pStyle w:val="Compact"/>
      </w:pPr>
      <w:r>
        <w:t xml:space="preserve">24-hour average concentrations of PM2.5 and NO2.</w:t>
      </w:r>
    </w:p>
    <w:p>
      <w:pPr>
        <w:numPr>
          <w:ilvl w:val="0"/>
          <w:numId w:val="1003"/>
        </w:numPr>
        <w:pStyle w:val="Compact"/>
      </w:pPr>
      <w:r>
        <w:t xml:space="preserve">Comparison against the Ambient Air Quality Standard (AAQS) 2014 limits.</w:t>
      </w:r>
    </w:p>
    <w:p>
      <w:pPr>
        <w:numPr>
          <w:ilvl w:val="0"/>
          <w:numId w:val="1003"/>
        </w:numPr>
        <w:pStyle w:val="Compact"/>
      </w:pPr>
      <w:r>
        <w:t xml:space="preserve">Correlation analysis between traffic volume (obtained from JPJ data) and pollutant levels.</w:t>
      </w:r>
    </w:p>
    <w:p>
      <w:pPr>
        <w:numPr>
          <w:ilvl w:val="0"/>
          <w:numId w:val="1003"/>
        </w:numPr>
        <w:pStyle w:val="Compact"/>
      </w:pPr>
      <w:r>
        <w:t xml:space="preserve">Assessment of meteorological impacts on pollutant dispersion.</w:t>
      </w:r>
    </w:p>
    <w:bookmarkEnd w:id="29"/>
    <w:bookmarkStart w:id="30" w:name="reporting-and-recommendations"/>
    <w:p>
      <w:pPr>
        <w:pStyle w:val="Heading2"/>
      </w:pPr>
      <w:r>
        <w:t xml:space="preserve">7. Reporting and Recommendations</w:t>
      </w:r>
    </w:p>
    <w:p>
      <w:pPr>
        <w:pStyle w:val="FirstParagraph"/>
      </w:pPr>
      <w:r>
        <w:t xml:space="preserve">The final report will be submitted to the relevant stakeholders, including the Department of Environment and local city planners. The Environmental Engineer will provide actionable recommendations, such as:</w:t>
      </w:r>
    </w:p>
    <w:p>
      <w:pPr>
        <w:numPr>
          <w:ilvl w:val="0"/>
          <w:numId w:val="1004"/>
        </w:numPr>
        <w:pStyle w:val="Compact"/>
      </w:pPr>
      <w:r>
        <w:t xml:space="preserve">Implementation of low-emission zones in identified hotspots.</w:t>
      </w:r>
    </w:p>
    <w:p>
      <w:pPr>
        <w:numPr>
          <w:ilvl w:val="0"/>
          <w:numId w:val="1004"/>
        </w:numPr>
        <w:pStyle w:val="Compact"/>
      </w:pPr>
      <w:r>
        <w:t xml:space="preserve">Enhancement of green infrastructure to mitigate urban heat island effects and improve air quality.</w:t>
      </w:r>
    </w:p>
    <w:p>
      <w:pPr>
        <w:numPr>
          <w:ilvl w:val="0"/>
          <w:numId w:val="1004"/>
        </w:numPr>
        <w:pStyle w:val="Compact"/>
      </w:pPr>
      <w:r>
        <w:t xml:space="preserve">Public awareness campaigns regarding air quality health indices.</w:t>
      </w:r>
    </w:p>
    <w:bookmarkEnd w:id="30"/>
    <w:bookmarkStart w:id="31" w:name="conclusion"/>
    <w:p>
      <w:pPr>
        <w:pStyle w:val="Heading2"/>
      </w:pPr>
      <w:r>
        <w:t xml:space="preserve">8. Conclusion</w:t>
      </w:r>
    </w:p>
    <w:p>
      <w:pPr>
        <w:pStyle w:val="FirstParagraph"/>
      </w:pPr>
      <w:r>
        <w:t xml:space="preserve">This experiment protocol provides a structured approach for the Environmental Engineer to assess air quality in Malaysia Kuala Lumpur. By adhering to this protocol, we ensure accurate, reliable, and actionable data that contributes to the sustainable development and environmental health of the city.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Urban Air Quality and Particulate Matter Analysis</dc:title>
  <dc:creator/>
  <dc:language>en</dc:language>
  <cp:keywords/>
  <dcterms:created xsi:type="dcterms:W3CDTF">2026-10-10T02:10:11Z</dcterms:created>
  <dcterms:modified xsi:type="dcterms:W3CDTF">2026-10-10T02:10:11Z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