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Water</w:t>
      </w:r>
      <w:r>
        <w:t xml:space="preserve"> </w:t>
      </w:r>
      <w:r>
        <w:t xml:space="preserve">Quality</w:t>
      </w:r>
      <w:r>
        <w:t xml:space="preserve"> </w:t>
      </w:r>
      <w:r>
        <w:t xml:space="preserve">Assessment</w:t>
      </w:r>
      <w:r>
        <w:t xml:space="preserve"> </w:t>
      </w:r>
      <w:r>
        <w:t xml:space="preserve">in</w:t>
      </w:r>
      <w:r>
        <w:t xml:space="preserve"> </w:t>
      </w:r>
      <w:r>
        <w:t xml:space="preserve">Yangon</w:t>
      </w:r>
    </w:p>
    <w:bookmarkStart w:id="20" w:name="X5b99d0b3719f966998716eeb56bf662e36d80e1"/>
    <w:p>
      <w:pPr>
        <w:pStyle w:val="Heading1"/>
      </w:pPr>
      <w:r>
        <w:t xml:space="preserve">Experiment Protocol: Urban Water Quality Assessment</w:t>
      </w:r>
    </w:p>
    <w:p>
      <w:pPr>
        <w:pStyle w:val="FirstParagraph"/>
      </w:pPr>
      <w:r>
        <w:rPr>
          <w:bCs/>
          <w:b/>
        </w:rPr>
        <w:t xml:space="preserve">Location:</w:t>
      </w:r>
      <w:r>
        <w:t xml:space="preserve"> </w:t>
      </w:r>
      <w:r>
        <w:t xml:space="preserve">Yangon, Myanmar</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YGN-WQ-2023-001</w:t>
      </w:r>
    </w:p>
    <w:bookmarkEnd w:id="20"/>
    <w:bookmarkStart w:id="21" w:name="introduction-and-objective"/>
    <w:p>
      <w:pPr>
        <w:pStyle w:val="Heading2"/>
      </w:pPr>
      <w:r>
        <w:t xml:space="preserve">1. Introduction and Objective</w:t>
      </w:r>
    </w:p>
    <w:p>
      <w:pPr>
        <w:pStyle w:val="FirstParagraph"/>
      </w:pPr>
      <w:r>
        <w:t xml:space="preserve">This Experiment Protocol is designed for the Environmental Engineer responsible for monitoring and assessing water quality within the urban and peri-urban areas of Yangon, Myanmar. Yangon, as the economic hub of Myanmar, faces significant environmental challenges, including rapid urbanization, industrial discharge, and aging infrastructure. These factors contribute to the contamination of surface water bodies such as the Yangon River and local canals (kyaungs), as well as groundwater sources.</w:t>
      </w:r>
    </w:p>
    <w:p>
      <w:pPr>
        <w:pStyle w:val="BodyText"/>
      </w:pPr>
      <w:r>
        <w:t xml:space="preserve">The primary objective of this experiment is to quantify key physicochemical and microbiological parameters in selected water samples to determine compliance with the Myanmar Environmental Quality Standards (EQS). The Environmental Engineer will utilize this data to identify pollution hotspots, assess risks to public health, and recommend remediation strategies tailored to the local context of Yangon.</w:t>
      </w:r>
    </w:p>
    <w:bookmarkEnd w:id="21"/>
    <w:bookmarkStart w:id="22" w:name="scope-and-site-selection"/>
    <w:p>
      <w:pPr>
        <w:pStyle w:val="Heading2"/>
      </w:pPr>
      <w:r>
        <w:t xml:space="preserve">2. Scope and Site Selection</w:t>
      </w:r>
    </w:p>
    <w:p>
      <w:pPr>
        <w:pStyle w:val="FirstParagraph"/>
      </w:pPr>
      <w:r>
        <w:t xml:space="preserve">The scope of this protocol covers surface water sampling from three distinct zones in Yangon:</w:t>
      </w:r>
    </w:p>
    <w:p>
      <w:pPr>
        <w:numPr>
          <w:ilvl w:val="0"/>
          <w:numId w:val="1001"/>
        </w:numPr>
        <w:pStyle w:val="Compact"/>
      </w:pPr>
      <w:r>
        <w:rPr>
          <w:bCs/>
          <w:b/>
        </w:rPr>
        <w:t xml:space="preserve">Zone A (Industrial):</w:t>
      </w:r>
      <w:r>
        <w:t xml:space="preserve"> </w:t>
      </w:r>
      <w:r>
        <w:t xml:space="preserve">Downstream of industrial zones in Hlaing Tharyar Township, focusing on heavy metal and chemical oxygen demand (COD).</w:t>
      </w:r>
    </w:p>
    <w:p>
      <w:pPr>
        <w:numPr>
          <w:ilvl w:val="0"/>
          <w:numId w:val="1001"/>
        </w:numPr>
        <w:pStyle w:val="Compact"/>
      </w:pPr>
      <w:r>
        <w:rPr>
          <w:bCs/>
          <w:b/>
        </w:rPr>
        <w:t xml:space="preserve">Zone B (Residential):</w:t>
      </w:r>
      <w:r>
        <w:t xml:space="preserve"> </w:t>
      </w:r>
      <w:r>
        <w:t xml:space="preserve">Canals in Dagon and Kamayut Townships, focusing on fecal coliform and nutrient loading.</w:t>
      </w:r>
    </w:p>
    <w:p>
      <w:pPr>
        <w:numPr>
          <w:ilvl w:val="0"/>
          <w:numId w:val="1001"/>
        </w:numPr>
        <w:pStyle w:val="Compact"/>
      </w:pPr>
      <w:r>
        <w:rPr>
          <w:bCs/>
          <w:b/>
        </w:rPr>
        <w:t xml:space="preserve">Zone C (Control):</w:t>
      </w:r>
      <w:r>
        <w:t xml:space="preserve"> </w:t>
      </w:r>
      <w:r>
        <w:t xml:space="preserve">Upstream areas in Insein District, serving as a baseline reference.</w:t>
      </w:r>
    </w:p>
    <w:p>
      <w:pPr>
        <w:pStyle w:val="FirstParagraph"/>
      </w:pPr>
      <w:r>
        <w:t xml:space="preserve">The Environmental Engineer must ensure that sampling sites are accessible and safe, considering local traffic conditions and seasonal water levels typical of Yangon's monsoon climate.</w:t>
      </w:r>
    </w:p>
    <w:bookmarkEnd w:id="22"/>
    <w:bookmarkStart w:id="23" w:name="materials-and-equipment"/>
    <w:p>
      <w:pPr>
        <w:pStyle w:val="Heading2"/>
      </w:pPr>
      <w:r>
        <w:t xml:space="preserve">3. Materials and Equipment</w:t>
      </w:r>
    </w:p>
    <w:p>
      <w:pPr>
        <w:pStyle w:val="FirstParagraph"/>
      </w:pPr>
      <w:r>
        <w:t xml:space="preserve">The following equipment is required for the field and laboratory phases. The Environmental Engineer must verify the calibration of all instruments prior to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Sampling Bottles</w:t>
            </w:r>
          </w:p>
        </w:tc>
        <w:tc>
          <w:tcPr/>
          <w:p>
            <w:pPr>
              <w:pStyle w:val="Compact"/>
              <w:jc w:val="left"/>
            </w:pPr>
            <w:r>
              <w:t xml:space="preserve">500ml HDPE (for metals), Glass (for organics), Sterile (for microbiology)</w:t>
            </w:r>
          </w:p>
        </w:tc>
        <w:tc>
          <w:tcPr/>
          <w:p>
            <w:pPr>
              <w:pStyle w:val="Compact"/>
              <w:jc w:val="left"/>
            </w:pPr>
            <w:r>
              <w:t xml:space="preserve">30 sets</w:t>
            </w:r>
          </w:p>
        </w:tc>
      </w:tr>
      <w:tr>
        <w:tc>
          <w:tcPr/>
          <w:p>
            <w:pPr>
              <w:pStyle w:val="Compact"/>
              <w:jc w:val="left"/>
            </w:pPr>
            <w:r>
              <w:t xml:space="preserve">Portable Multiparameter Meter</w:t>
            </w:r>
          </w:p>
        </w:tc>
        <w:tc>
          <w:tcPr/>
          <w:p>
            <w:pPr>
              <w:pStyle w:val="Compact"/>
              <w:jc w:val="left"/>
            </w:pPr>
            <w:r>
              <w:t xml:space="preserve">Measures pH, Dissolved Oxygen (DO), Conductivity, Turbidity</w:t>
            </w:r>
          </w:p>
        </w:tc>
        <w:tc>
          <w:tcPr/>
          <w:p>
            <w:pPr>
              <w:pStyle w:val="Compact"/>
              <w:jc w:val="left"/>
            </w:pPr>
            <w:r>
              <w:t xml:space="preserve">2 units</w:t>
            </w:r>
          </w:p>
        </w:tc>
      </w:tr>
      <w:tr>
        <w:tc>
          <w:tcPr/>
          <w:p>
            <w:pPr>
              <w:pStyle w:val="Compact"/>
              <w:jc w:val="left"/>
            </w:pPr>
            <w:r>
              <w:t xml:space="preserve">GPS Device</w:t>
            </w:r>
          </w:p>
        </w:tc>
        <w:tc>
          <w:tcPr/>
          <w:p>
            <w:pPr>
              <w:pStyle w:val="Compact"/>
              <w:jc w:val="left"/>
            </w:pPr>
            <w:r>
              <w:t xml:space="preserve">For precise geotagging of Yangon sampling coordinates</w:t>
            </w:r>
          </w:p>
        </w:tc>
        <w:tc>
          <w:tcPr/>
          <w:p>
            <w:pPr>
              <w:pStyle w:val="Compact"/>
              <w:jc w:val="left"/>
            </w:pPr>
            <w:r>
              <w:t xml:space="preserve">1 unit</w:t>
            </w:r>
          </w:p>
        </w:tc>
      </w:tr>
      <w:tr>
        <w:tc>
          <w:tcPr/>
          <w:p>
            <w:pPr>
              <w:pStyle w:val="Compact"/>
              <w:jc w:val="left"/>
            </w:pPr>
            <w:r>
              <w:t xml:space="preserve">Cooler Box</w:t>
            </w:r>
          </w:p>
        </w:tc>
        <w:tc>
          <w:tcPr/>
          <w:p>
            <w:pPr>
              <w:pStyle w:val="Compact"/>
              <w:jc w:val="left"/>
            </w:pPr>
            <w:r>
              <w:t xml:space="preserve">With ice packs to maintain 4°C during transport</w:t>
            </w:r>
          </w:p>
        </w:tc>
        <w:tc>
          <w:tcPr/>
          <w:p>
            <w:pPr>
              <w:pStyle w:val="Compact"/>
              <w:jc w:val="left"/>
            </w:pPr>
            <w:r>
              <w:t xml:space="preserve">2 units</w:t>
            </w:r>
          </w:p>
        </w:tc>
      </w:tr>
      <w:tr>
        <w:tc>
          <w:tcPr/>
          <w:p>
            <w:pPr>
              <w:pStyle w:val="Compact"/>
              <w:jc w:val="left"/>
            </w:pPr>
            <w:r>
              <w:t xml:space="preserve">Personal Protective Equipment (PPE)</w:t>
            </w:r>
          </w:p>
        </w:tc>
        <w:tc>
          <w:tcPr/>
          <w:p>
            <w:pPr>
              <w:pStyle w:val="Compact"/>
              <w:jc w:val="left"/>
            </w:pPr>
            <w:r>
              <w:t xml:space="preserve">Gloves, boots, masks, safety vests</w:t>
            </w:r>
          </w:p>
        </w:tc>
        <w:tc>
          <w:tcPr/>
          <w:p>
            <w:pPr>
              <w:pStyle w:val="Compact"/>
              <w:jc w:val="left"/>
            </w:pPr>
            <w:r>
              <w:t xml:space="preserve">As needed</w:t>
            </w:r>
          </w:p>
        </w:tc>
      </w:tr>
    </w:tbl>
    <w:bookmarkEnd w:id="23"/>
    <w:bookmarkStart w:id="27" w:name="methodology"/>
    <w:p>
      <w:pPr>
        <w:pStyle w:val="Heading2"/>
      </w:pPr>
      <w:r>
        <w:t xml:space="preserve">4. Methodology</w:t>
      </w:r>
    </w:p>
    <w:bookmarkStart w:id="24" w:name="pre-sampling-preparation"/>
    <w:p>
      <w:pPr>
        <w:pStyle w:val="Heading3"/>
      </w:pPr>
      <w:r>
        <w:t xml:space="preserve">4.1 Pre-Sampling Preparation</w:t>
      </w:r>
    </w:p>
    <w:p>
      <w:pPr>
        <w:pStyle w:val="FirstParagraph"/>
      </w:pPr>
      <w:r>
        <w:t xml:space="preserve">The Environmental Engineer must review local weather forecasts. Sampling should ideally be conducted during the dry season to avoid dilution effects from monsoon rains, unless specific stormwater runoff analysis is required. All glassware must be acid-washed (10% HNO3) and rinsed with deionized water to prevent contamination.</w:t>
      </w:r>
    </w:p>
    <w:bookmarkEnd w:id="24"/>
    <w:bookmarkStart w:id="25" w:name="field-sampling-procedure"/>
    <w:p>
      <w:pPr>
        <w:pStyle w:val="Heading3"/>
      </w:pPr>
      <w:r>
        <w:t xml:space="preserve">4.2 Field Sampling Procedure</w:t>
      </w:r>
    </w:p>
    <w:p>
      <w:pPr>
        <w:numPr>
          <w:ilvl w:val="0"/>
          <w:numId w:val="1002"/>
        </w:numPr>
        <w:pStyle w:val="Compact"/>
      </w:pPr>
      <w:r>
        <w:rPr>
          <w:bCs/>
          <w:b/>
        </w:rPr>
        <w:t xml:space="preserve">Site Arrival:</w:t>
      </w:r>
      <w:r>
        <w:t xml:space="preserve"> </w:t>
      </w:r>
      <w:r>
        <w:t xml:space="preserve">Record GPS coordinates, time, and visual observations (e.g., presence of foam, odor, industrial discharge pipes).</w:t>
      </w:r>
    </w:p>
    <w:p>
      <w:pPr>
        <w:numPr>
          <w:ilvl w:val="0"/>
          <w:numId w:val="1002"/>
        </w:numPr>
        <w:pStyle w:val="Compact"/>
      </w:pPr>
      <w:r>
        <w:rPr>
          <w:bCs/>
          <w:b/>
        </w:rPr>
        <w:t xml:space="preserve">In-Situ Measurements:</w:t>
      </w:r>
      <w:r>
        <w:t xml:space="preserve"> </w:t>
      </w:r>
      <w:r>
        <w:t xml:space="preserve">Immediately measure pH, temperature, dissolved oxygen, and conductivity using the portable meter. Rinse probes with deionized water between sites.</w:t>
      </w:r>
    </w:p>
    <w:p>
      <w:pPr>
        <w:numPr>
          <w:ilvl w:val="0"/>
          <w:numId w:val="1002"/>
        </w:numPr>
        <w:pStyle w:val="Compact"/>
      </w:pPr>
      <w:r>
        <w:rPr>
          <w:bCs/>
          <w:b/>
        </w:rPr>
        <w:t xml:space="preserve">Sample Collection:</w:t>
      </w:r>
    </w:p>
    <w:p>
      <w:pPr>
        <w:numPr>
          <w:ilvl w:val="1"/>
          <w:numId w:val="1003"/>
        </w:numPr>
        <w:pStyle w:val="Compact"/>
      </w:pPr>
      <w:r>
        <w:t xml:space="preserve">Collect samples from mid-depth, approximately 30 cm below the surface, avoiding surface scum or bottom sediment.</w:t>
      </w:r>
    </w:p>
    <w:p>
      <w:pPr>
        <w:numPr>
          <w:ilvl w:val="1"/>
          <w:numId w:val="1003"/>
        </w:numPr>
        <w:pStyle w:val="Compact"/>
      </w:pPr>
      <w:r>
        <w:t xml:space="preserve">For microbiological analysis, use sterile bottles without touching the inside rim.</w:t>
      </w:r>
    </w:p>
    <w:p>
      <w:pPr>
        <w:numPr>
          <w:ilvl w:val="1"/>
          <w:numId w:val="1003"/>
        </w:numPr>
        <w:pStyle w:val="Compact"/>
      </w:pPr>
      <w:r>
        <w:t xml:space="preserve">For heavy metal analysis, add preservative (HNO3) to achieve pH &lt; 2 immediately after collection.</w:t>
      </w:r>
    </w:p>
    <w:p>
      <w:pPr>
        <w:numPr>
          <w:ilvl w:val="0"/>
          <w:numId w:val="1002"/>
        </w:numPr>
        <w:pStyle w:val="Compact"/>
      </w:pPr>
      <w:r>
        <w:rPr>
          <w:bCs/>
          <w:b/>
        </w:rPr>
        <w:t xml:space="preserve">Labeling:</w:t>
      </w:r>
      <w:r>
        <w:t xml:space="preserve"> </w:t>
      </w:r>
      <w:r>
        <w:t xml:space="preserve">Label each bottle with Site ID, Date, Time, and Parameter. Use waterproof markers suitable for Yangon's humid conditions.</w:t>
      </w:r>
    </w:p>
    <w:p>
      <w:pPr>
        <w:numPr>
          <w:ilvl w:val="0"/>
          <w:numId w:val="1002"/>
        </w:numPr>
        <w:pStyle w:val="Compact"/>
      </w:pPr>
      <w:r>
        <w:rPr>
          <w:bCs/>
          <w:b/>
        </w:rPr>
        <w:t xml:space="preserve">Preservation:</w:t>
      </w:r>
      <w:r>
        <w:t xml:space="preserve"> </w:t>
      </w:r>
      <w:r>
        <w:t xml:space="preserve">Place all samples in the cooler box at 4°C. Transport to the laboratory within 6 hours.</w:t>
      </w:r>
    </w:p>
    <w:bookmarkEnd w:id="25"/>
    <w:bookmarkStart w:id="26" w:name="laboratory-analysis"/>
    <w:p>
      <w:pPr>
        <w:pStyle w:val="Heading3"/>
      </w:pPr>
      <w:r>
        <w:t xml:space="preserve">4.3 Laboratory Analysis</w:t>
      </w:r>
    </w:p>
    <w:p>
      <w:pPr>
        <w:pStyle w:val="FirstParagraph"/>
      </w:pPr>
      <w:r>
        <w:t xml:space="preserve">The Environmental Engineer will oversee the analysis of the following parameters using standard methods (APHA/AWWA/WEF):</w:t>
      </w:r>
    </w:p>
    <w:p>
      <w:pPr>
        <w:numPr>
          <w:ilvl w:val="0"/>
          <w:numId w:val="1004"/>
        </w:numPr>
        <w:pStyle w:val="Compact"/>
      </w:pPr>
      <w:r>
        <w:rPr>
          <w:bCs/>
          <w:b/>
        </w:rPr>
        <w:t xml:space="preserve">pH and Conductivity:</w:t>
      </w:r>
      <w:r>
        <w:t xml:space="preserve"> </w:t>
      </w:r>
      <w:r>
        <w:t xml:space="preserve">Verified against field readings.</w:t>
      </w:r>
    </w:p>
    <w:p>
      <w:pPr>
        <w:numPr>
          <w:ilvl w:val="0"/>
          <w:numId w:val="1004"/>
        </w:numPr>
        <w:pStyle w:val="Compact"/>
      </w:pPr>
      <w:r>
        <w:rPr>
          <w:bCs/>
          <w:b/>
        </w:rPr>
        <w:t xml:space="preserve">BOD5 (Biochemical Oxygen Demand):</w:t>
      </w:r>
      <w:r>
        <w:t xml:space="preserve"> </w:t>
      </w:r>
      <w:r>
        <w:t xml:space="preserve">Incubate samples at 20°C for 5 days.</w:t>
      </w:r>
    </w:p>
    <w:p>
      <w:pPr>
        <w:numPr>
          <w:ilvl w:val="0"/>
          <w:numId w:val="1004"/>
        </w:numPr>
        <w:pStyle w:val="Compact"/>
      </w:pPr>
      <w:r>
        <w:rPr>
          <w:bCs/>
          <w:b/>
        </w:rPr>
        <w:t xml:space="preserve">COD (Chemical Oxygen Demand):</w:t>
      </w:r>
      <w:r>
        <w:t xml:space="preserve"> </w:t>
      </w:r>
      <w:r>
        <w:t xml:space="preserve">Dichromate reflux method.</w:t>
      </w:r>
    </w:p>
    <w:p>
      <w:pPr>
        <w:numPr>
          <w:ilvl w:val="0"/>
          <w:numId w:val="1004"/>
        </w:numPr>
        <w:pStyle w:val="Compact"/>
      </w:pPr>
      <w:r>
        <w:rPr>
          <w:bCs/>
          <w:b/>
        </w:rPr>
        <w:t xml:space="preserve">Total Coliform and E. coli:</w:t>
      </w:r>
      <w:r>
        <w:t xml:space="preserve"> </w:t>
      </w:r>
      <w:r>
        <w:t xml:space="preserve">Membrane filtration technique.</w:t>
      </w:r>
    </w:p>
    <w:p>
      <w:pPr>
        <w:numPr>
          <w:ilvl w:val="0"/>
          <w:numId w:val="1004"/>
        </w:numPr>
        <w:pStyle w:val="Compact"/>
      </w:pPr>
      <w:r>
        <w:rPr>
          <w:bCs/>
          <w:b/>
        </w:rPr>
        <w:t xml:space="preserve">Heavy Metals (Pb, Cd, Hg, As):</w:t>
      </w:r>
      <w:r>
        <w:t xml:space="preserve"> </w:t>
      </w:r>
      <w:r>
        <w:t xml:space="preserve">Atomic Absorption Spectroscopy (AAS) or ICP-MS.</w:t>
      </w:r>
    </w:p>
    <w:bookmarkEnd w:id="26"/>
    <w:bookmarkEnd w:id="27"/>
    <w:bookmarkStart w:id="28" w:name="X821d2f34bdaf57637cbbf49b6dc1cefe6766a7d"/>
    <w:p>
      <w:pPr>
        <w:pStyle w:val="Heading2"/>
      </w:pPr>
      <w:r>
        <w:t xml:space="preserve">5. Quality Assurance and Quality Control (QA/QC)</w:t>
      </w:r>
    </w:p>
    <w:p>
      <w:pPr>
        <w:pStyle w:val="FirstParagraph"/>
      </w:pPr>
      <w:r>
        <w:t xml:space="preserve">To ensure data integrity, the Environmental Engineer must implement the following QA/QC measures:</w:t>
      </w:r>
    </w:p>
    <w:p>
      <w:pPr>
        <w:numPr>
          <w:ilvl w:val="0"/>
          <w:numId w:val="1005"/>
        </w:numPr>
        <w:pStyle w:val="Compact"/>
      </w:pPr>
      <w:r>
        <w:rPr>
          <w:bCs/>
          <w:b/>
        </w:rPr>
        <w:t xml:space="preserve">Field Blanks:</w:t>
      </w:r>
      <w:r>
        <w:t xml:space="preserve"> </w:t>
      </w:r>
      <w:r>
        <w:t xml:space="preserve">Collect deionized water in the field to check for contamination during sampling.</w:t>
      </w:r>
    </w:p>
    <w:p>
      <w:pPr>
        <w:numPr>
          <w:ilvl w:val="0"/>
          <w:numId w:val="1005"/>
        </w:numPr>
        <w:pStyle w:val="Compact"/>
      </w:pPr>
      <w:r>
        <w:rPr>
          <w:bCs/>
          <w:b/>
        </w:rPr>
        <w:t xml:space="preserve">Duplicates:</w:t>
      </w:r>
      <w:r>
        <w:t xml:space="preserve"> </w:t>
      </w:r>
      <w:r>
        <w:t xml:space="preserve">Collect duplicate samples at 10% of sites to assess precision.</w:t>
      </w:r>
    </w:p>
    <w:p>
      <w:pPr>
        <w:numPr>
          <w:ilvl w:val="0"/>
          <w:numId w:val="1005"/>
        </w:numPr>
        <w:pStyle w:val="Compact"/>
      </w:pPr>
      <w:r>
        <w:rPr>
          <w:bCs/>
          <w:b/>
        </w:rPr>
        <w:t xml:space="preserve">Calibration:</w:t>
      </w:r>
      <w:r>
        <w:t xml:space="preserve"> </w:t>
      </w:r>
      <w:r>
        <w:t xml:space="preserve">Calibrate all instruments before and after each day of sampling.</w:t>
      </w:r>
    </w:p>
    <w:p>
      <w:pPr>
        <w:numPr>
          <w:ilvl w:val="0"/>
          <w:numId w:val="1005"/>
        </w:numPr>
        <w:pStyle w:val="Compact"/>
      </w:pPr>
      <w:r>
        <w:rPr>
          <w:bCs/>
          <w:b/>
        </w:rPr>
        <w:t xml:space="preserve">Chain of Custody:</w:t>
      </w:r>
      <w:r>
        <w:t xml:space="preserve"> </w:t>
      </w:r>
      <w:r>
        <w:t xml:space="preserve">Maintain a strict log of sample handling from collection to analysis.</w:t>
      </w:r>
    </w:p>
    <w:bookmarkEnd w:id="28"/>
    <w:bookmarkStart w:id="29" w:name="health-and-safety"/>
    <w:p>
      <w:pPr>
        <w:pStyle w:val="Heading2"/>
      </w:pPr>
      <w:r>
        <w:t xml:space="preserve">6. Health and Safety</w:t>
      </w:r>
    </w:p>
    <w:p>
      <w:pPr>
        <w:pStyle w:val="FirstParagraph"/>
      </w:pPr>
      <w:r>
        <w:t xml:space="preserve">Working in Yangon's waterways presents specific risks. The Environmental Engineer must enforce:</w:t>
      </w:r>
    </w:p>
    <w:p>
      <w:pPr>
        <w:numPr>
          <w:ilvl w:val="0"/>
          <w:numId w:val="1006"/>
        </w:numPr>
        <w:pStyle w:val="Compact"/>
      </w:pPr>
      <w:r>
        <w:t xml:space="preserve">Use of PPE to protect against chemical exposure and biological hazards.</w:t>
      </w:r>
    </w:p>
    <w:p>
      <w:pPr>
        <w:numPr>
          <w:ilvl w:val="0"/>
          <w:numId w:val="1006"/>
        </w:numPr>
        <w:pStyle w:val="Compact"/>
      </w:pPr>
      <w:r>
        <w:t xml:space="preserve">Awareness of traffic safety when accessing canal banks in busy urban areas.</w:t>
      </w:r>
    </w:p>
    <w:p>
      <w:pPr>
        <w:numPr>
          <w:ilvl w:val="0"/>
          <w:numId w:val="1006"/>
        </w:numPr>
        <w:pStyle w:val="Compact"/>
      </w:pPr>
      <w:r>
        <w:t xml:space="preserve">First aid kit availability, including treatment for potential waterborne infections.</w:t>
      </w:r>
    </w:p>
    <w:bookmarkEnd w:id="29"/>
    <w:bookmarkStart w:id="30" w:name="data-reporting-and-compliance"/>
    <w:p>
      <w:pPr>
        <w:pStyle w:val="Heading2"/>
      </w:pPr>
      <w:r>
        <w:t xml:space="preserve">7. Data Reporting and Compliance</w:t>
      </w:r>
    </w:p>
    <w:p>
      <w:pPr>
        <w:pStyle w:val="FirstParagraph"/>
      </w:pPr>
      <w:r>
        <w:t xml:space="preserve">Upon completion of the analysis, the Environmental Engineer will compile a comprehensive report. This report must compare results against the</w:t>
      </w:r>
      <w:r>
        <w:t xml:space="preserve"> </w:t>
      </w:r>
      <w:r>
        <w:rPr>
          <w:iCs/>
          <w:i/>
        </w:rPr>
        <w:t xml:space="preserve">Environmental Quality Standards for Water</w:t>
      </w:r>
      <w:r>
        <w:t xml:space="preserve"> </w:t>
      </w:r>
      <w:r>
        <w:t xml:space="preserve">issued by the Environmental Conservation Department (ECD) of Myanmar. The report should include:</w:t>
      </w:r>
    </w:p>
    <w:p>
      <w:pPr>
        <w:numPr>
          <w:ilvl w:val="0"/>
          <w:numId w:val="1007"/>
        </w:numPr>
        <w:pStyle w:val="Compact"/>
      </w:pPr>
      <w:r>
        <w:t xml:space="preserve">Summary of findings for each zone.</w:t>
      </w:r>
    </w:p>
    <w:p>
      <w:pPr>
        <w:numPr>
          <w:ilvl w:val="0"/>
          <w:numId w:val="1007"/>
        </w:numPr>
        <w:pStyle w:val="Compact"/>
      </w:pPr>
      <w:r>
        <w:t xml:space="preserve">Identification of parameters exceeding regulatory limits.</w:t>
      </w:r>
    </w:p>
    <w:p>
      <w:pPr>
        <w:numPr>
          <w:ilvl w:val="0"/>
          <w:numId w:val="1007"/>
        </w:numPr>
        <w:pStyle w:val="Compact"/>
      </w:pPr>
      <w:r>
        <w:t xml:space="preserve">Recommendations for mitigation, such as improved wastewater treatment or industrial regulation enforcement.</w:t>
      </w:r>
    </w:p>
    <w:p>
      <w:pPr>
        <w:pStyle w:val="FirstParagraph"/>
      </w:pPr>
      <w:r>
        <w:t xml:space="preserve">This protocol ensures a systematic, scientific approach to addressing environmental challenges in Yangon, supporting sustainable development and public health protection.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Water Quality Assessment in Yangon</dc:title>
  <dc:creator/>
  <dc:language>en</dc:language>
  <cp:keywords/>
  <dcterms:created xsi:type="dcterms:W3CDTF">2026-10-10T03:04:26Z</dcterms:created>
  <dcterms:modified xsi:type="dcterms:W3CDTF">2026-10-10T03:04:26Z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