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Assessment</w:t>
      </w:r>
    </w:p>
    <w:bookmarkStart w:id="20" w:name="Xe8b0ef9e65ce2c224caab03ff7811e2fdcf6353"/>
    <w:p>
      <w:pPr>
        <w:pStyle w:val="Heading1"/>
      </w:pPr>
      <w:r>
        <w:t xml:space="preserve">Experiment Protocol: Urban Air Quality Assessment</w:t>
      </w:r>
    </w:p>
    <w:p>
      <w:pPr>
        <w:pStyle w:val="FirstParagraph"/>
      </w:pPr>
      <w:r>
        <w:rPr>
          <w:bCs/>
          <w:b/>
        </w:rPr>
        <w:t xml:space="preserve">Location:</w:t>
      </w:r>
      <w:r>
        <w:t xml:space="preserve"> </w:t>
      </w:r>
      <w:r>
        <w:t xml:space="preserve">Kathmandu Valley, Nepal</w:t>
      </w:r>
    </w:p>
    <w:p>
      <w:pPr>
        <w:pStyle w:val="BodyText"/>
      </w:pPr>
      <w:r>
        <w:rPr>
          <w:bCs/>
          <w:b/>
        </w:rPr>
        <w:t xml:space="preserve">Prepared By:</w:t>
      </w:r>
      <w:r>
        <w:t xml:space="preserve"> </w:t>
      </w:r>
      <w:r>
        <w:t xml:space="preserve">Senior Environmental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is designed for the systematic assessment of particulate matter (PM2.5 and PM10) and gaseous pollutants (NO2, SO2, CO) in the Kathmandu Valley. The primary objective is to quantify the spatial and temporal distribution of air pollutants during the winter inversion season, a period characterized by severe air quality degradation in Nepal.</w:t>
      </w:r>
    </w:p>
    <w:p>
      <w:pPr>
        <w:pStyle w:val="BodyText"/>
      </w:pPr>
      <w:r>
        <w:t xml:space="preserve">The Environmental Engineer overseeing this study will utilize this protocol to ensure data integrity, safety compliance, and methodological consistency. The findings will contribute to the development of targeted mitigation strategies for urban pollution in Kathmandu.</w:t>
      </w:r>
    </w:p>
    <w:bookmarkEnd w:id="21"/>
    <w:bookmarkStart w:id="22" w:name="scope-and-study-area"/>
    <w:p>
      <w:pPr>
        <w:pStyle w:val="Heading2"/>
      </w:pPr>
      <w:r>
        <w:t xml:space="preserve">2. Scope and Study Area</w:t>
      </w:r>
    </w:p>
    <w:p>
      <w:pPr>
        <w:pStyle w:val="FirstParagraph"/>
      </w:pPr>
      <w:r>
        <w:t xml:space="preserve">The study will focus on three distinct zones within Kathmandu:</w:t>
      </w:r>
    </w:p>
    <w:p>
      <w:pPr>
        <w:numPr>
          <w:ilvl w:val="0"/>
          <w:numId w:val="1001"/>
        </w:numPr>
        <w:pStyle w:val="Compact"/>
      </w:pPr>
      <w:r>
        <w:rPr>
          <w:bCs/>
          <w:b/>
        </w:rPr>
        <w:t xml:space="preserve">High-Traffic Zone:</w:t>
      </w:r>
      <w:r>
        <w:t xml:space="preserve"> </w:t>
      </w:r>
      <w:r>
        <w:t xml:space="preserve">New Road and Durbar Marg, representing vehicular emissions.</w:t>
      </w:r>
    </w:p>
    <w:p>
      <w:pPr>
        <w:numPr>
          <w:ilvl w:val="0"/>
          <w:numId w:val="1001"/>
        </w:numPr>
        <w:pStyle w:val="Compact"/>
      </w:pPr>
      <w:r>
        <w:rPr>
          <w:bCs/>
          <w:b/>
        </w:rPr>
        <w:t xml:space="preserve">Industrial Zone:</w:t>
      </w:r>
      <w:r>
        <w:t xml:space="preserve"> </w:t>
      </w:r>
      <w:r>
        <w:t xml:space="preserve">Patan Industrial Estate, representing industrial and brick kiln emissions.</w:t>
      </w:r>
    </w:p>
    <w:p>
      <w:pPr>
        <w:numPr>
          <w:ilvl w:val="0"/>
          <w:numId w:val="1001"/>
        </w:numPr>
        <w:pStyle w:val="Compact"/>
      </w:pPr>
      <w:r>
        <w:rPr>
          <w:bCs/>
          <w:b/>
        </w:rPr>
        <w:t xml:space="preserve">Residential Zone:</w:t>
      </w:r>
      <w:r>
        <w:t xml:space="preserve"> </w:t>
      </w:r>
      <w:r>
        <w:t xml:space="preserve">Lalitpur, representing domestic biomass burning and general urban background levels.</w:t>
      </w:r>
    </w:p>
    <w:p>
      <w:pPr>
        <w:pStyle w:val="FirstParagraph"/>
      </w:pPr>
      <w:r>
        <w:t xml:space="preserve">This protocol applies to all field personnel, laboratory technicians, and data analysts involved in the project.</w:t>
      </w:r>
    </w:p>
    <w:bookmarkEnd w:id="22"/>
    <w:bookmarkStart w:id="23" w:name="equipment-and-materials"/>
    <w:p>
      <w:pPr>
        <w:pStyle w:val="Heading2"/>
      </w:pPr>
      <w:r>
        <w:t xml:space="preserve">3. Equipment and Materials</w:t>
      </w:r>
    </w:p>
    <w:p>
      <w:pPr>
        <w:pStyle w:val="FirstParagraph"/>
      </w:pPr>
      <w:r>
        <w:t xml:space="preserve">The following equipment must be calibrated and verified prior to deployment:</w:t>
      </w:r>
    </w:p>
    <w:p>
      <w:pPr>
        <w:numPr>
          <w:ilvl w:val="0"/>
          <w:numId w:val="1002"/>
        </w:numPr>
        <w:pStyle w:val="Compact"/>
      </w:pPr>
      <w:r>
        <w:t xml:space="preserve">High-Volume Air Samplers (Hi-Vol) for PM2.5 and PM10.</w:t>
      </w:r>
    </w:p>
    <w:p>
      <w:pPr>
        <w:numPr>
          <w:ilvl w:val="0"/>
          <w:numId w:val="1002"/>
        </w:numPr>
        <w:pStyle w:val="Compact"/>
      </w:pPr>
      <w:r>
        <w:t xml:space="preserve">Continuous Air Quality Monitors (Beta Attenuation Monitors).</w:t>
      </w:r>
    </w:p>
    <w:p>
      <w:pPr>
        <w:numPr>
          <w:ilvl w:val="0"/>
          <w:numId w:val="1002"/>
        </w:numPr>
        <w:pStyle w:val="Compact"/>
      </w:pPr>
      <w:r>
        <w:t xml:space="preserve">Gas Analyzers (Chemiluminescence for NOx, UV Fluorescence for SO2).</w:t>
      </w:r>
    </w:p>
    <w:p>
      <w:pPr>
        <w:numPr>
          <w:ilvl w:val="0"/>
          <w:numId w:val="1002"/>
        </w:numPr>
        <w:pStyle w:val="Compact"/>
      </w:pPr>
      <w:r>
        <w:t xml:space="preserve">Weather Station (for temperature, humidity, wind speed, and direction).</w:t>
      </w:r>
    </w:p>
    <w:p>
      <w:pPr>
        <w:numPr>
          <w:ilvl w:val="0"/>
          <w:numId w:val="1002"/>
        </w:numPr>
        <w:pStyle w:val="Compact"/>
      </w:pPr>
      <w:r>
        <w:t xml:space="preserve">Personal Protective Equipment (PPE): N95 masks, safety gloves, and high-visibility vests.</w:t>
      </w:r>
    </w:p>
    <w:p>
      <w:pPr>
        <w:numPr>
          <w:ilvl w:val="0"/>
          <w:numId w:val="1002"/>
        </w:numPr>
        <w:pStyle w:val="Compact"/>
      </w:pPr>
      <w:r>
        <w:t xml:space="preserve">Data Loggers and GPS devices for site mapping.</w:t>
      </w:r>
    </w:p>
    <w:bookmarkEnd w:id="23"/>
    <w:bookmarkStart w:id="27" w:name="methodology"/>
    <w:p>
      <w:pPr>
        <w:pStyle w:val="Heading2"/>
      </w:pPr>
      <w:r>
        <w:t xml:space="preserve">4. Methodology</w:t>
      </w:r>
    </w:p>
    <w:bookmarkStart w:id="24" w:name="sampling-strategy"/>
    <w:p>
      <w:pPr>
        <w:pStyle w:val="Heading3"/>
      </w:pPr>
      <w:r>
        <w:t xml:space="preserve">4.1 Sampling Strategy</w:t>
      </w:r>
    </w:p>
    <w:p>
      <w:pPr>
        <w:pStyle w:val="FirstParagraph"/>
      </w:pPr>
      <w:r>
        <w:t xml:space="preserve">Sampling will be conducted over a period of 30 days. Each site will be sampled for 24 hours continuously. The Environmental Engineer must ensure that sampling heights are standardized at 3-5 meters above ground level to comply with WHO guidelines.</w:t>
      </w:r>
    </w:p>
    <w:bookmarkEnd w:id="24"/>
    <w:bookmarkStart w:id="25" w:name="X821d2f34bdaf57637cbbf49b6dc1cefe6766a7d"/>
    <w:p>
      <w:pPr>
        <w:pStyle w:val="Heading3"/>
      </w:pPr>
      <w:r>
        <w:t xml:space="preserve">4.2 Quality Assurance and Quality Control (QA/QC)</w:t>
      </w:r>
    </w:p>
    <w:p>
      <w:pPr>
        <w:pStyle w:val="FirstParagraph"/>
      </w:pPr>
      <w:r>
        <w:t xml:space="preserve">To ensure the reliability of the data:</w:t>
      </w:r>
    </w:p>
    <w:p>
      <w:pPr>
        <w:numPr>
          <w:ilvl w:val="0"/>
          <w:numId w:val="1003"/>
        </w:numPr>
        <w:pStyle w:val="Compact"/>
      </w:pPr>
      <w:r>
        <w:t xml:space="preserve">Calibration checks must be performed daily using certified gas standards.</w:t>
      </w:r>
    </w:p>
    <w:p>
      <w:pPr>
        <w:numPr>
          <w:ilvl w:val="0"/>
          <w:numId w:val="1003"/>
        </w:numPr>
        <w:pStyle w:val="Compact"/>
      </w:pPr>
      <w:r>
        <w:t xml:space="preserve">Blank filters must be processed alongside sample filters to account for contamination.</w:t>
      </w:r>
    </w:p>
    <w:p>
      <w:pPr>
        <w:numPr>
          <w:ilvl w:val="0"/>
          <w:numId w:val="1003"/>
        </w:numPr>
        <w:pStyle w:val="Compact"/>
      </w:pPr>
      <w:r>
        <w:t xml:space="preserve">Flow rates of air samplers must be verified before and after each sampling period.</w:t>
      </w:r>
    </w:p>
    <w:bookmarkEnd w:id="25"/>
    <w:bookmarkStart w:id="26" w:name="data-collection"/>
    <w:p>
      <w:pPr>
        <w:pStyle w:val="Heading3"/>
      </w:pPr>
      <w:r>
        <w:t xml:space="preserve">4.3 Data Collection</w:t>
      </w:r>
    </w:p>
    <w:p>
      <w:pPr>
        <w:pStyle w:val="FirstParagraph"/>
      </w:pPr>
      <w:r>
        <w:t xml:space="preserve">Data will be recorded in real-time using digital data loggers. Manual logs will also be maintained as a backup. The Environmental Engineer is responsible for verifying data completeness and flagging any anomalies.</w:t>
      </w:r>
    </w:p>
    <w:bookmarkEnd w:id="26"/>
    <w:bookmarkEnd w:id="27"/>
    <w:bookmarkStart w:id="28" w:name="safety-procedures"/>
    <w:p>
      <w:pPr>
        <w:pStyle w:val="Heading2"/>
      </w:pPr>
      <w:r>
        <w:t xml:space="preserve">5. Safety Procedures</w:t>
      </w:r>
    </w:p>
    <w:p>
      <w:pPr>
        <w:pStyle w:val="FirstParagraph"/>
      </w:pPr>
      <w:r>
        <w:t xml:space="preserve">Given the hazardous nature of the pollutants and the urban environment of Kathmandu, strict safety protocols must be followed:</w:t>
      </w:r>
    </w:p>
    <w:p>
      <w:pPr>
        <w:numPr>
          <w:ilvl w:val="0"/>
          <w:numId w:val="1004"/>
        </w:numPr>
        <w:pStyle w:val="Compact"/>
      </w:pPr>
      <w:r>
        <w:t xml:space="preserve">All field personnel must wear appropriate PPE at all times.</w:t>
      </w:r>
    </w:p>
    <w:p>
      <w:pPr>
        <w:numPr>
          <w:ilvl w:val="0"/>
          <w:numId w:val="1004"/>
        </w:numPr>
        <w:pStyle w:val="Compact"/>
      </w:pPr>
      <w:r>
        <w:t xml:space="preserve">Field teams must operate in pairs to ensure safety.</w:t>
      </w:r>
    </w:p>
    <w:p>
      <w:pPr>
        <w:numPr>
          <w:ilvl w:val="0"/>
          <w:numId w:val="1004"/>
        </w:numPr>
        <w:pStyle w:val="Compact"/>
      </w:pPr>
      <w:r>
        <w:t xml:space="preserve">In case of equipment malfunction or exposure to high pollutant levels, personnel must evacuate the site immediately and report to the Environmental Engineer.</w:t>
      </w:r>
    </w:p>
    <w:p>
      <w:pPr>
        <w:numPr>
          <w:ilvl w:val="0"/>
          <w:numId w:val="1004"/>
        </w:numPr>
        <w:pStyle w:val="Compact"/>
      </w:pPr>
      <w:r>
        <w:t xml:space="preserve">Emergency contact numbers for local hospitals and authorities must be readily available.</w:t>
      </w:r>
    </w:p>
    <w:bookmarkEnd w:id="28"/>
    <w:bookmarkStart w:id="29" w:name="data-analysis-and-reporting"/>
    <w:p>
      <w:pPr>
        <w:pStyle w:val="Heading2"/>
      </w:pPr>
      <w:r>
        <w:t xml:space="preserve">6. Data Analysis and Reporting</w:t>
      </w:r>
    </w:p>
    <w:p>
      <w:pPr>
        <w:pStyle w:val="FirstParagraph"/>
      </w:pPr>
      <w:r>
        <w:t xml:space="preserve">Collected data will be analyzed using statistical software to determine mean concentrations, peak values, and correlation with meteorological parameters. The Environmental Engineer will prepare a comprehensive report detailing:</w:t>
      </w:r>
    </w:p>
    <w:p>
      <w:pPr>
        <w:numPr>
          <w:ilvl w:val="0"/>
          <w:numId w:val="1005"/>
        </w:numPr>
        <w:pStyle w:val="Compact"/>
      </w:pPr>
      <w:r>
        <w:t xml:space="preserve">Comparison of pollutant levels with Nepal's National Ambient Air Quality Standards (NAAQS).</w:t>
      </w:r>
    </w:p>
    <w:p>
      <w:pPr>
        <w:numPr>
          <w:ilvl w:val="0"/>
          <w:numId w:val="1005"/>
        </w:numPr>
        <w:pStyle w:val="Compact"/>
      </w:pPr>
      <w:r>
        <w:t xml:space="preserve">Identification of primary pollution sources.</w:t>
      </w:r>
    </w:p>
    <w:p>
      <w:pPr>
        <w:numPr>
          <w:ilvl w:val="0"/>
          <w:numId w:val="1005"/>
        </w:numPr>
        <w:pStyle w:val="Compact"/>
      </w:pPr>
      <w:r>
        <w:t xml:space="preserve">Recommendations for policy interventions and public health advisories.</w:t>
      </w:r>
    </w:p>
    <w:bookmarkEnd w:id="29"/>
    <w:bookmarkStart w:id="30" w:name="ethical-considerations"/>
    <w:p>
      <w:pPr>
        <w:pStyle w:val="Heading2"/>
      </w:pPr>
      <w:r>
        <w:t xml:space="preserve">7. Ethical Considerations</w:t>
      </w:r>
    </w:p>
    <w:p>
      <w:pPr>
        <w:pStyle w:val="FirstParagraph"/>
      </w:pPr>
      <w:r>
        <w:t xml:space="preserve">This study adheres to ethical guidelines for environmental research. Data will be used solely for scientific and public benefit purposes. Privacy of any individuals inadvertently captured in site photographs will be respected.</w:t>
      </w:r>
    </w:p>
    <w:bookmarkEnd w:id="30"/>
    <w:bookmarkStart w:id="31" w:name="approval-and-signatures"/>
    <w:p>
      <w:pPr>
        <w:pStyle w:val="Heading2"/>
      </w:pPr>
      <w:r>
        <w:t xml:space="preserve">8. Approval and Signatures</w:t>
      </w:r>
    </w:p>
    <w:p>
      <w:pPr>
        <w:pStyle w:val="FirstParagraph"/>
      </w:pPr>
      <w:r>
        <w:t xml:space="preserve">This Experiment Protocol has been reviewed and approved by the relevant authorities.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Lead Environmental Engineer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Project Manager</w:t>
            </w:r>
          </w:p>
        </w:tc>
        <w:tc>
          <w:tcPr/>
          <w:p>
            <w:pPr>
              <w:pStyle w:val="Compact"/>
            </w:pPr>
          </w:p>
        </w:tc>
        <w:tc>
          <w:tcPr/>
          <w:p>
            <w:pPr>
              <w:pStyle w:val="Compact"/>
            </w:pPr>
          </w:p>
        </w:tc>
      </w:tr>
    </w:tbl>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Assessment</dc:title>
  <dc:creator/>
  <dc:language>en</dc:language>
  <cp:keywords/>
  <dcterms:created xsi:type="dcterms:W3CDTF">2026-10-10T03:34:31Z</dcterms:created>
  <dcterms:modified xsi:type="dcterms:W3CDTF">2026-10-10T03:34:31Z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