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Water</w:t>
      </w:r>
      <w:r>
        <w:t xml:space="preserve"> </w:t>
      </w:r>
      <w:r>
        <w:t xml:space="preserve">Quality</w:t>
      </w:r>
      <w:r>
        <w:t xml:space="preserve"> </w:t>
      </w:r>
      <w:r>
        <w:t xml:space="preserve">Assessment</w:t>
      </w:r>
    </w:p>
    <w:bookmarkStart w:id="20" w:name="X5b99d0b3719f966998716eeb56bf662e36d80e1"/>
    <w:p>
      <w:pPr>
        <w:pStyle w:val="Heading1"/>
      </w:pPr>
      <w:r>
        <w:t xml:space="preserve">Experiment Protocol: Urban Water Quality Assessment</w:t>
      </w:r>
    </w:p>
    <w:p>
      <w:pPr>
        <w:pStyle w:val="FirstParagraph"/>
      </w:pPr>
      <w:r>
        <w:rPr>
          <w:bCs/>
          <w:b/>
        </w:rPr>
        <w:t xml:space="preserve">Location:</w:t>
      </w:r>
      <w:r>
        <w:t xml:space="preserve"> </w:t>
      </w:r>
      <w:r>
        <w:t xml:space="preserve">Netherlands Amsterdam</w:t>
      </w:r>
    </w:p>
    <w:p>
      <w:pPr>
        <w:pStyle w:val="BodyText"/>
      </w:pPr>
      <w:r>
        <w:rPr>
          <w:bCs/>
          <w:b/>
        </w:rPr>
        <w:t xml:space="preserve">Role:</w:t>
      </w:r>
      <w:r>
        <w:t xml:space="preserve"> </w:t>
      </w:r>
      <w:r>
        <w:t xml:space="preserve">Environmental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Experiment Protocol outlines the procedures for assessing water quality in the urban waterways of Netherlands Amsterdam. The primary objective is to evaluate the effectiveness of current water management strategies in mitigating pollution from urban runoff and wastewater discharge. As an Environmental Engineer, it is crucial to ensure that the data collected adheres to the stringent environmental standards set by the Dutch government and the European Union.</w:t>
      </w:r>
    </w:p>
    <w:p>
      <w:pPr>
        <w:pStyle w:val="BodyText"/>
      </w:pPr>
      <w:r>
        <w:t xml:space="preserve">Amsterdam's unique geography, characterized by its extensive network of canals and proximity to the IJmeer and North Sea, necessitates a comprehensive approach to water quality monitoring. This protocol will guide the Environmental Engineer through the sampling, analysis, and reporting phases of the experiment.</w:t>
      </w:r>
    </w:p>
    <w:bookmarkEnd w:id="21"/>
    <w:bookmarkStart w:id="22"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measure key water quality parameters, including pH, dissolved oxygen, turbidity, and nutrient levels (nitrogen and phosphorus).</w:t>
      </w:r>
    </w:p>
    <w:p>
      <w:pPr>
        <w:numPr>
          <w:ilvl w:val="0"/>
          <w:numId w:val="1001"/>
        </w:numPr>
        <w:pStyle w:val="Compact"/>
      </w:pPr>
      <w:r>
        <w:t xml:space="preserve">To assess the presence of heavy metals and organic pollutants in selected canal systems.</w:t>
      </w:r>
    </w:p>
    <w:p>
      <w:pPr>
        <w:numPr>
          <w:ilvl w:val="0"/>
          <w:numId w:val="1001"/>
        </w:numPr>
        <w:pStyle w:val="Compact"/>
      </w:pPr>
      <w:r>
        <w:t xml:space="preserve">To evaluate the impact of seasonal variations on water quality in Netherlands Amsterdam.</w:t>
      </w:r>
    </w:p>
    <w:p>
      <w:pPr>
        <w:numPr>
          <w:ilvl w:val="0"/>
          <w:numId w:val="1001"/>
        </w:numPr>
        <w:pStyle w:val="Compact"/>
      </w:pPr>
      <w:r>
        <w:t xml:space="preserve">To provide data-driven recommendations for improving urban water management practices.</w:t>
      </w:r>
    </w:p>
    <w:bookmarkEnd w:id="22"/>
    <w:bookmarkStart w:id="26" w:name="methodology"/>
    <w:p>
      <w:pPr>
        <w:pStyle w:val="Heading2"/>
      </w:pPr>
      <w:r>
        <w:t xml:space="preserve">3. Methodology</w:t>
      </w:r>
    </w:p>
    <w:bookmarkStart w:id="23" w:name="site-selection"/>
    <w:p>
      <w:pPr>
        <w:pStyle w:val="Heading3"/>
      </w:pPr>
      <w:r>
        <w:t xml:space="preserve">3.1 Site Selection</w:t>
      </w:r>
    </w:p>
    <w:p>
      <w:pPr>
        <w:pStyle w:val="FirstParagraph"/>
      </w:pPr>
      <w:r>
        <w:t xml:space="preserve">Sampling sites will be strategically selected across various districts of Netherlands Amsterdam, including the city center, residential areas, and industrial zones. This ensures a representative sample of the urban waterways. Each site will be geotagged for accurate record-keeping.</w:t>
      </w:r>
    </w:p>
    <w:bookmarkEnd w:id="23"/>
    <w:bookmarkStart w:id="24" w:name="sampling-procedures"/>
    <w:p>
      <w:pPr>
        <w:pStyle w:val="Heading3"/>
      </w:pPr>
      <w:r>
        <w:t xml:space="preserve">3.2 Sampling Procedures</w:t>
      </w:r>
    </w:p>
    <w:p>
      <w:pPr>
        <w:pStyle w:val="FirstParagraph"/>
      </w:pPr>
      <w:r>
        <w:t xml:space="preserve">As an Environmental Engineer, you must adhere to the following sampling procedures:</w:t>
      </w:r>
    </w:p>
    <w:p>
      <w:pPr>
        <w:numPr>
          <w:ilvl w:val="0"/>
          <w:numId w:val="1002"/>
        </w:numPr>
        <w:pStyle w:val="Compact"/>
      </w:pPr>
      <w:r>
        <w:rPr>
          <w:bCs/>
          <w:b/>
        </w:rPr>
        <w:t xml:space="preserve">Frequency:</w:t>
      </w:r>
      <w:r>
        <w:t xml:space="preserve"> </w:t>
      </w:r>
      <w:r>
        <w:t xml:space="preserve">Samples will be collected monthly over a period of one year to account for seasonal variations.</w:t>
      </w:r>
    </w:p>
    <w:p>
      <w:pPr>
        <w:numPr>
          <w:ilvl w:val="0"/>
          <w:numId w:val="1002"/>
        </w:numPr>
        <w:pStyle w:val="Compact"/>
      </w:pPr>
      <w:r>
        <w:rPr>
          <w:bCs/>
          <w:b/>
        </w:rPr>
        <w:t xml:space="preserve">Depth:</w:t>
      </w:r>
      <w:r>
        <w:t xml:space="preserve"> </w:t>
      </w:r>
      <w:r>
        <w:t xml:space="preserve">Water samples will be taken at three depths: surface (0.5 meters), mid-depth (1.5 meters), and near-bottom (2.5 meters).</w:t>
      </w:r>
    </w:p>
    <w:p>
      <w:pPr>
        <w:numPr>
          <w:ilvl w:val="0"/>
          <w:numId w:val="1002"/>
        </w:numPr>
        <w:pStyle w:val="Compact"/>
      </w:pPr>
      <w:r>
        <w:rPr>
          <w:bCs/>
          <w:b/>
        </w:rPr>
        <w:t xml:space="preserve">Equipment:</w:t>
      </w:r>
      <w:r>
        <w:t xml:space="preserve"> </w:t>
      </w:r>
      <w:r>
        <w:t xml:space="preserve">Use sterile, pre-cleaned bottles for sample collection. Ensure all equipment is calibrated before use.</w:t>
      </w:r>
    </w:p>
    <w:p>
      <w:pPr>
        <w:pStyle w:val="FirstParagraph"/>
      </w:pPr>
      <w:r>
        <w:rPr>
          <w:bCs/>
          <w:b/>
        </w:rPr>
        <w:t xml:space="preserve">Note:</w:t>
      </w:r>
      <w:r>
        <w:t xml:space="preserve"> </w:t>
      </w:r>
      <w:r>
        <w:t xml:space="preserve">Always wear appropriate personal protective equipment (PPE) during sampling, including gloves, safety goggles, and waterproof boots.</w:t>
      </w:r>
    </w:p>
    <w:bookmarkEnd w:id="24"/>
    <w:bookmarkStart w:id="25" w:name="laboratory-analysis"/>
    <w:p>
      <w:pPr>
        <w:pStyle w:val="Heading3"/>
      </w:pPr>
      <w:r>
        <w:t xml:space="preserve">3.3 Laboratory Analysis</w:t>
      </w:r>
    </w:p>
    <w:p>
      <w:pPr>
        <w:pStyle w:val="FirstParagraph"/>
      </w:pPr>
      <w:r>
        <w:t xml:space="preserve">Collected samples will be transported to an accredited laboratory for analysis. The following parameters will be measured:</w:t>
      </w:r>
    </w:p>
    <w:p>
      <w:pPr>
        <w:numPr>
          <w:ilvl w:val="0"/>
          <w:numId w:val="1003"/>
        </w:numPr>
        <w:pStyle w:val="Compact"/>
      </w:pPr>
      <w:r>
        <w:rPr>
          <w:bCs/>
          <w:b/>
        </w:rPr>
        <w:t xml:space="preserve">pH:</w:t>
      </w:r>
      <w:r>
        <w:t xml:space="preserve"> </w:t>
      </w:r>
      <w:r>
        <w:t xml:space="preserve">Using a calibrated pH meter.</w:t>
      </w:r>
    </w:p>
    <w:p>
      <w:pPr>
        <w:numPr>
          <w:ilvl w:val="0"/>
          <w:numId w:val="1003"/>
        </w:numPr>
        <w:pStyle w:val="Compact"/>
      </w:pPr>
      <w:r>
        <w:rPr>
          <w:bCs/>
          <w:b/>
        </w:rPr>
        <w:t xml:space="preserve">Dissolved Oxygen:</w:t>
      </w:r>
      <w:r>
        <w:t xml:space="preserve"> </w:t>
      </w:r>
      <w:r>
        <w:t xml:space="preserve">Using a dissolved oxygen probe.</w:t>
      </w:r>
    </w:p>
    <w:p>
      <w:pPr>
        <w:numPr>
          <w:ilvl w:val="0"/>
          <w:numId w:val="1003"/>
        </w:numPr>
        <w:pStyle w:val="Compact"/>
      </w:pPr>
      <w:r>
        <w:rPr>
          <w:bCs/>
          <w:b/>
        </w:rPr>
        <w:t xml:space="preserve">Turbidity:</w:t>
      </w:r>
      <w:r>
        <w:t xml:space="preserve"> </w:t>
      </w:r>
      <w:r>
        <w:t xml:space="preserve">Using a turbidimeter.</w:t>
      </w:r>
    </w:p>
    <w:p>
      <w:pPr>
        <w:numPr>
          <w:ilvl w:val="0"/>
          <w:numId w:val="1003"/>
        </w:numPr>
        <w:pStyle w:val="Compact"/>
      </w:pPr>
      <w:r>
        <w:rPr>
          <w:bCs/>
          <w:b/>
        </w:rPr>
        <w:t xml:space="preserve">Nutrients:</w:t>
      </w:r>
      <w:r>
        <w:t xml:space="preserve"> </w:t>
      </w:r>
      <w:r>
        <w:t xml:space="preserve">Using spectrophotometric methods for nitrogen and phosphorus.</w:t>
      </w:r>
    </w:p>
    <w:p>
      <w:pPr>
        <w:numPr>
          <w:ilvl w:val="0"/>
          <w:numId w:val="1003"/>
        </w:numPr>
        <w:pStyle w:val="Compact"/>
      </w:pPr>
      <w:r>
        <w:rPr>
          <w:bCs/>
          <w:b/>
        </w:rPr>
        <w:t xml:space="preserve">Heavy Metals:</w:t>
      </w:r>
      <w:r>
        <w:t xml:space="preserve"> </w:t>
      </w:r>
      <w:r>
        <w:t xml:space="preserve">Using atomic absorption spectroscopy.</w:t>
      </w:r>
    </w:p>
    <w:p>
      <w:pPr>
        <w:numPr>
          <w:ilvl w:val="0"/>
          <w:numId w:val="1003"/>
        </w:numPr>
        <w:pStyle w:val="Compact"/>
      </w:pPr>
      <w:r>
        <w:rPr>
          <w:bCs/>
          <w:b/>
        </w:rPr>
        <w:t xml:space="preserve">Organic Pollutants:</w:t>
      </w:r>
      <w:r>
        <w:t xml:space="preserve"> </w:t>
      </w:r>
      <w:r>
        <w:t xml:space="preserve">Using gas chromatography-mass spectrometry (GC-MS).</w:t>
      </w:r>
    </w:p>
    <w:bookmarkEnd w:id="25"/>
    <w:bookmarkEnd w:id="26"/>
    <w:bookmarkStart w:id="27" w:name="data-management"/>
    <w:p>
      <w:pPr>
        <w:pStyle w:val="Heading2"/>
      </w:pPr>
      <w:r>
        <w:t xml:space="preserve">4. Data Management</w:t>
      </w:r>
    </w:p>
    <w:p>
      <w:pPr>
        <w:pStyle w:val="FirstParagraph"/>
      </w:pPr>
      <w:r>
        <w:t xml:space="preserve">All data collected during the experiment will be recorded in a centralized database. As an Environmental Engineer, you are responsible for ensuring the accuracy and integrity of the data. Regular backups will be performed to prevent data loss. Data will be analyzed using statistical software to identify trends and correlations.</w:t>
      </w:r>
    </w:p>
    <w:bookmarkEnd w:id="27"/>
    <w:bookmarkStart w:id="28" w:name="safety-and-environmental-considerations"/>
    <w:p>
      <w:pPr>
        <w:pStyle w:val="Heading2"/>
      </w:pPr>
      <w:r>
        <w:t xml:space="preserve">5. Safety and Environmental Considerations</w:t>
      </w:r>
    </w:p>
    <w:p>
      <w:pPr>
        <w:pStyle w:val="FirstParagraph"/>
      </w:pPr>
      <w:r>
        <w:t xml:space="preserve">Safety is paramount during the execution of this experiment. The following measures must be taken:</w:t>
      </w:r>
    </w:p>
    <w:p>
      <w:pPr>
        <w:numPr>
          <w:ilvl w:val="0"/>
          <w:numId w:val="1004"/>
        </w:numPr>
        <w:pStyle w:val="Compact"/>
      </w:pPr>
      <w:r>
        <w:t xml:space="preserve">Conduct a risk assessment before each sampling session.</w:t>
      </w:r>
    </w:p>
    <w:p>
      <w:pPr>
        <w:numPr>
          <w:ilvl w:val="0"/>
          <w:numId w:val="1004"/>
        </w:numPr>
        <w:pStyle w:val="Compact"/>
      </w:pPr>
      <w:r>
        <w:t xml:space="preserve">Ensure all team members are trained in safety protocols and emergency procedures.</w:t>
      </w:r>
    </w:p>
    <w:p>
      <w:pPr>
        <w:numPr>
          <w:ilvl w:val="0"/>
          <w:numId w:val="1004"/>
        </w:numPr>
        <w:pStyle w:val="Compact"/>
      </w:pPr>
      <w:r>
        <w:t xml:space="preserve">Minimize the environmental impact of sampling activities by following best practices for waste disposal and site restoration.</w:t>
      </w:r>
    </w:p>
    <w:p>
      <w:pPr>
        <w:pStyle w:val="FirstParagraph"/>
      </w:pPr>
      <w:r>
        <w:t xml:space="preserve">In the context of Netherlands Amsterdam, special attention should be given to protecting the unique aquatic ecosystems and cultural heritage sites located along the canals.</w:t>
      </w:r>
    </w:p>
    <w:bookmarkEnd w:id="28"/>
    <w:bookmarkStart w:id="29" w:name="reporting"/>
    <w:p>
      <w:pPr>
        <w:pStyle w:val="Heading2"/>
      </w:pPr>
      <w:r>
        <w:t xml:space="preserve">6. Reporting</w:t>
      </w:r>
    </w:p>
    <w:p>
      <w:pPr>
        <w:pStyle w:val="FirstParagraph"/>
      </w:pPr>
      <w:r>
        <w:t xml:space="preserve">Upon completion of the experiment, a comprehensive report will be prepared. The report will include:</w:t>
      </w:r>
    </w:p>
    <w:p>
      <w:pPr>
        <w:numPr>
          <w:ilvl w:val="0"/>
          <w:numId w:val="1005"/>
        </w:numPr>
        <w:pStyle w:val="Compact"/>
      </w:pPr>
      <w:r>
        <w:t xml:space="preserve">A summary of the methodology and procedures followed.</w:t>
      </w:r>
    </w:p>
    <w:p>
      <w:pPr>
        <w:numPr>
          <w:ilvl w:val="0"/>
          <w:numId w:val="1005"/>
        </w:numPr>
        <w:pStyle w:val="Compact"/>
      </w:pPr>
      <w:r>
        <w:t xml:space="preserve">Detailed results of the water quality analysis.</w:t>
      </w:r>
    </w:p>
    <w:p>
      <w:pPr>
        <w:numPr>
          <w:ilvl w:val="0"/>
          <w:numId w:val="1005"/>
        </w:numPr>
        <w:pStyle w:val="Compact"/>
      </w:pPr>
      <w:r>
        <w:t xml:space="preserve">Interpretation of the data in the context of current environmental standards.</w:t>
      </w:r>
    </w:p>
    <w:p>
      <w:pPr>
        <w:numPr>
          <w:ilvl w:val="0"/>
          <w:numId w:val="1005"/>
        </w:numPr>
        <w:pStyle w:val="Compact"/>
      </w:pPr>
      <w:r>
        <w:t xml:space="preserve">Recommendations for improving water quality management in Netherlands Amsterdam.</w:t>
      </w:r>
    </w:p>
    <w:p>
      <w:pPr>
        <w:pStyle w:val="FirstParagraph"/>
      </w:pPr>
      <w:r>
        <w:t xml:space="preserve">The report will be submitted to the relevant authorities, including the Amsterdam City Council and the Dutch Water Authority, for review and action.</w:t>
      </w:r>
    </w:p>
    <w:bookmarkEnd w:id="29"/>
    <w:bookmarkStart w:id="30" w:name="conclusion"/>
    <w:p>
      <w:pPr>
        <w:pStyle w:val="Heading2"/>
      </w:pPr>
      <w:r>
        <w:t xml:space="preserve">7. Conclusion</w:t>
      </w:r>
    </w:p>
    <w:p>
      <w:pPr>
        <w:pStyle w:val="FirstParagraph"/>
      </w:pPr>
      <w:r>
        <w:t xml:space="preserve">This Experiment Protocol provides a structured approach for assessing water quality in the urban waterways of Netherlands Amsterdam. By following these guidelines, the Environmental Engineer will be able to collect reliable data that can inform policy decisions and contribute to the sustainable management of Amsterdam's water resources.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Water Quality Assessment</dc:title>
  <dc:creator/>
  <dc:language>en</dc:language>
  <cp:keywords/>
  <dcterms:created xsi:type="dcterms:W3CDTF">2026-10-10T01:50:36Z</dcterms:created>
  <dcterms:modified xsi:type="dcterms:W3CDTF">2026-10-10T01:50:36Z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