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Auckland</w:t>
      </w:r>
      <w:r>
        <w:t xml:space="preserve"> </w:t>
      </w:r>
      <w:r>
        <w:t xml:space="preserve">Urban</w:t>
      </w:r>
      <w:r>
        <w:t xml:space="preserve"> </w:t>
      </w:r>
      <w:r>
        <w:t xml:space="preserve">Water</w:t>
      </w:r>
      <w:r>
        <w:t xml:space="preserve"> </w:t>
      </w:r>
      <w:r>
        <w:t xml:space="preserve">Quality</w:t>
      </w:r>
      <w:r>
        <w:t xml:space="preserve"> </w:t>
      </w:r>
      <w:r>
        <w:t xml:space="preserve">Assessment</w:t>
      </w:r>
    </w:p>
    <w:bookmarkStart w:id="20" w:name="Xbf8347dec99afeeda66bd7f251cd89a77a91ec2"/>
    <w:p>
      <w:pPr>
        <w:pStyle w:val="Heading1"/>
      </w:pPr>
      <w:r>
        <w:t xml:space="preserve">Experiment Protocol: Urban Stormwater Quality Assessment in Auckland</w:t>
      </w:r>
    </w:p>
    <w:p>
      <w:pPr>
        <w:pStyle w:val="FirstParagraph"/>
      </w:pPr>
      <w:r>
        <w:rPr>
          <w:bCs/>
          <w:b/>
        </w:rPr>
        <w:t xml:space="preserve">Document ID:</w:t>
      </w:r>
      <w:r>
        <w:t xml:space="preserve"> </w:t>
      </w:r>
      <w:r>
        <w:t xml:space="preserve">NZ-AKL-ENV-2023-001</w:t>
      </w:r>
    </w:p>
    <w:p>
      <w:pPr>
        <w:pStyle w:val="BodyText"/>
      </w:pPr>
      <w:r>
        <w:rPr>
          <w:bCs/>
          <w:b/>
        </w:rPr>
        <w:t xml:space="preserve">Location:</w:t>
      </w:r>
      <w:r>
        <w:t xml:space="preserve"> </w:t>
      </w:r>
      <w:r>
        <w:t xml:space="preserve">Auckland, New Zealand (Waitematā Harbour Catchment)</w:t>
      </w:r>
    </w:p>
    <w:p>
      <w:pPr>
        <w:pStyle w:val="BodyText"/>
      </w:pPr>
      <w:r>
        <w:rPr>
          <w:bCs/>
          <w:b/>
        </w:rPr>
        <w:t xml:space="preserve">Role:</w:t>
      </w:r>
      <w:r>
        <w:t xml:space="preserve"> </w:t>
      </w:r>
      <w:r>
        <w:t xml:space="preserve">Environmental Engineer</w:t>
      </w:r>
    </w:p>
    <w:p>
      <w:pPr>
        <w:pStyle w:val="BodyText"/>
      </w:pPr>
      <w:r>
        <w:rPr>
          <w:bCs/>
          <w:b/>
        </w:rPr>
        <w:t xml:space="preserve">Date:</w:t>
      </w:r>
      <w:r>
        <w:t xml:space="preserve"> </w:t>
      </w:r>
      <w:r>
        <w:t xml:space="preserve">October 26, 2023</w:t>
      </w:r>
    </w:p>
    <w:p>
      <w:pPr>
        <w:pStyle w:val="BodyText"/>
      </w:pPr>
      <w:r>
        <w:rPr>
          <w:bCs/>
          <w:b/>
        </w:rPr>
        <w:t xml:space="preserve">Status:</w:t>
      </w:r>
      <w:r>
        <w:t xml:space="preserve"> </w:t>
      </w:r>
      <w:r>
        <w:t xml:space="preserve">Approved for Field Implementation</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assessing the quality of urban stormwater runoff in Auckland, New Zealand. As an Environmental Engineer operating within the Auckland Council jurisdiction, the primary objective is to quantify the concentration of Total Suspended Solids (TSS), Total Phosphorus (TP), and Escherichia coli (E. coli) in stormwater discharging into the Waitematā Harbour.</w:t>
      </w:r>
    </w:p>
    <w:p>
      <w:pPr>
        <w:pStyle w:val="BodyText"/>
      </w:pPr>
      <w:r>
        <w:t xml:space="preserve">Auckland's unique geological composition, characterized by volcanic soils and high urbanization rates, presents specific challenges regarding nutrient loading and sediment transport. This protocol ensures that data collection adheres to the Resource Management Act 1991 and aligns with the Auckland Unitary Plan requirements for water quality management.</w:t>
      </w:r>
    </w:p>
    <w:bookmarkEnd w:id="21"/>
    <w:bookmarkStart w:id="22" w:name="scope-and-site-selection"/>
    <w:p>
      <w:pPr>
        <w:pStyle w:val="Heading2"/>
      </w:pPr>
      <w:r>
        <w:t xml:space="preserve">2. Scope and Site Selection</w:t>
      </w:r>
    </w:p>
    <w:p>
      <w:pPr>
        <w:pStyle w:val="FirstParagraph"/>
      </w:pPr>
      <w:r>
        <w:t xml:space="preserve">The scope of this experiment is limited to three designated stormwater outfall points within the central Auckland urban basin. The Environmental Engineer must select sites that represent typical impervious surface coverage (residential and commercial) to ensure data relevance for broader urban planning.</w:t>
      </w:r>
    </w:p>
    <w:p>
      <w:pPr>
        <w:pStyle w:val="BodyText"/>
      </w:pPr>
      <w:r>
        <w:rPr>
          <w:bCs/>
          <w:b/>
        </w:rPr>
        <w:t xml:space="preserve">Site Criteria:</w:t>
      </w:r>
    </w:p>
    <w:p>
      <w:pPr>
        <w:numPr>
          <w:ilvl w:val="0"/>
          <w:numId w:val="1001"/>
        </w:numPr>
        <w:pStyle w:val="Compact"/>
      </w:pPr>
      <w:r>
        <w:t xml:space="preserve">Direct discharge into a tidal waterway.</w:t>
      </w:r>
    </w:p>
    <w:p>
      <w:pPr>
        <w:numPr>
          <w:ilvl w:val="0"/>
          <w:numId w:val="1001"/>
        </w:numPr>
        <w:pStyle w:val="Compact"/>
      </w:pPr>
      <w:r>
        <w:t xml:space="preserve">Accessible for safe sampling during rainfall events.</w:t>
      </w:r>
    </w:p>
    <w:p>
      <w:pPr>
        <w:numPr>
          <w:ilvl w:val="0"/>
          <w:numId w:val="1001"/>
        </w:numPr>
        <w:pStyle w:val="Compact"/>
      </w:pPr>
      <w:r>
        <w:t xml:space="preserve">Free from immediate industrial contamination sources to isolate urban runoff effects.</w:t>
      </w:r>
    </w:p>
    <w:bookmarkEnd w:id="22"/>
    <w:bookmarkStart w:id="23" w:name="health-and-safety-hs"/>
    <w:p>
      <w:pPr>
        <w:pStyle w:val="Heading2"/>
      </w:pPr>
      <w:r>
        <w:t xml:space="preserve">3. Health and Safety (H&amp;S)</w:t>
      </w:r>
    </w:p>
    <w:p>
      <w:pPr>
        <w:pStyle w:val="FirstParagraph"/>
      </w:pPr>
      <w:r>
        <w:t xml:space="preserve">Adherence to the Health and Safety at Work Act 2015 is mandatory. The Environmental Engineer must conduct a Job Safety Analysis (JSA) prior to fieldwork.</w:t>
      </w:r>
    </w:p>
    <w:p>
      <w:pPr>
        <w:pStyle w:val="BodyText"/>
      </w:pPr>
      <w:r>
        <w:rPr>
          <w:bCs/>
          <w:b/>
        </w:rPr>
        <w:t xml:space="preserve">Key Hazards in Auckland Context:</w:t>
      </w:r>
    </w:p>
    <w:p>
      <w:pPr>
        <w:numPr>
          <w:ilvl w:val="0"/>
          <w:numId w:val="1002"/>
        </w:numPr>
        <w:pStyle w:val="Compact"/>
      </w:pPr>
      <w:r>
        <w:rPr>
          <w:bCs/>
          <w:b/>
        </w:rPr>
        <w:t xml:space="preserve">Tidal Fluctuations:</w:t>
      </w:r>
      <w:r>
        <w:t xml:space="preserve"> </w:t>
      </w:r>
      <w:r>
        <w:t xml:space="preserve">Sampling near the Waitematā Harbour requires monitoring tide tables to prevent entrapment.</w:t>
      </w:r>
    </w:p>
    <w:p>
      <w:pPr>
        <w:numPr>
          <w:ilvl w:val="0"/>
          <w:numId w:val="1002"/>
        </w:numPr>
        <w:pStyle w:val="Compact"/>
      </w:pPr>
      <w:r>
        <w:rPr>
          <w:bCs/>
          <w:b/>
        </w:rPr>
        <w:t xml:space="preserve">Biological Hazards:</w:t>
      </w:r>
      <w:r>
        <w:t xml:space="preserve"> </w:t>
      </w:r>
      <w:r>
        <w:t xml:space="preserve">Stormwater may contain pathogens; use of nitrile gloves and eye protection is required.</w:t>
      </w:r>
    </w:p>
    <w:p>
      <w:pPr>
        <w:numPr>
          <w:ilvl w:val="0"/>
          <w:numId w:val="1002"/>
        </w:numPr>
        <w:pStyle w:val="Compact"/>
      </w:pPr>
      <w:r>
        <w:rPr>
          <w:bCs/>
          <w:b/>
        </w:rPr>
        <w:t xml:space="preserve">Slippery Surfaces:</w:t>
      </w:r>
      <w:r>
        <w:t xml:space="preserve"> </w:t>
      </w:r>
      <w:r>
        <w:t xml:space="preserve">Auckland's frequent rainfall creates slippery conditions on volcanic rock and concrete; appropriate footwear is essential.</w:t>
      </w:r>
    </w:p>
    <w:bookmarkEnd w:id="23"/>
    <w:bookmarkStart w:id="24" w:name="equipment-and-materials"/>
    <w:p>
      <w:pPr>
        <w:pStyle w:val="Heading2"/>
      </w:pPr>
      <w:r>
        <w:t xml:space="preserve">4. Equipment and Materials</w:t>
      </w:r>
    </w:p>
    <w:p>
      <w:pPr>
        <w:pStyle w:val="FirstParagraph"/>
      </w:pPr>
      <w:r>
        <w:t xml:space="preserve">The following equipment must be calibrated and sanitized before use: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Autosampler</w:t>
            </w:r>
          </w:p>
        </w:tc>
        <w:tc>
          <w:tcPr/>
          <w:p>
            <w:pPr>
              <w:pStyle w:val="Compact"/>
              <w:jc w:val="left"/>
            </w:pPr>
            <w:r>
              <w:t xml:space="preserve">Flow-weighted capability, battery-operated</w:t>
            </w:r>
          </w:p>
        </w:tc>
        <w:tc>
          <w:tcPr/>
          <w:p>
            <w:pPr>
              <w:pStyle w:val="Compact"/>
              <w:jc w:val="left"/>
            </w:pPr>
            <w:r>
              <w:t xml:space="preserve">3</w:t>
            </w:r>
          </w:p>
        </w:tc>
      </w:tr>
      <w:tr>
        <w:tc>
          <w:tcPr/>
          <w:p>
            <w:pPr>
              <w:pStyle w:val="Compact"/>
              <w:jc w:val="left"/>
            </w:pPr>
            <w:r>
              <w:t xml:space="preserve">Sample Bottles</w:t>
            </w:r>
          </w:p>
        </w:tc>
        <w:tc>
          <w:tcPr/>
          <w:p>
            <w:pPr>
              <w:pStyle w:val="Compact"/>
              <w:jc w:val="left"/>
            </w:pPr>
            <w:r>
              <w:t xml:space="preserve">500mL HDPE (for nutrients), 100mL sterile (for microbiology)</w:t>
            </w:r>
          </w:p>
        </w:tc>
        <w:tc>
          <w:tcPr/>
          <w:p>
            <w:pPr>
              <w:pStyle w:val="Compact"/>
              <w:jc w:val="left"/>
            </w:pPr>
            <w:r>
              <w:t xml:space="preserve">As required</w:t>
            </w:r>
          </w:p>
        </w:tc>
      </w:tr>
      <w:tr>
        <w:tc>
          <w:tcPr/>
          <w:p>
            <w:pPr>
              <w:pStyle w:val="Compact"/>
              <w:jc w:val="left"/>
            </w:pPr>
            <w:r>
              <w:t xml:space="preserve">Field Meter</w:t>
            </w:r>
          </w:p>
        </w:tc>
        <w:tc>
          <w:tcPr/>
          <w:p>
            <w:pPr>
              <w:pStyle w:val="Compact"/>
              <w:jc w:val="left"/>
            </w:pPr>
            <w:r>
              <w:t xml:space="preserve">Multi-parameter (pH, Conductivity, DO, Turbidity)</w:t>
            </w:r>
          </w:p>
        </w:tc>
        <w:tc>
          <w:tcPr/>
          <w:p>
            <w:pPr>
              <w:pStyle w:val="Compact"/>
              <w:jc w:val="left"/>
            </w:pPr>
            <w:r>
              <w:t xml:space="preserve">1</w:t>
            </w:r>
          </w:p>
        </w:tc>
      </w:tr>
      <w:tr>
        <w:tc>
          <w:tcPr/>
          <w:p>
            <w:pPr>
              <w:pStyle w:val="Compact"/>
              <w:jc w:val="left"/>
            </w:pPr>
            <w:r>
              <w:t xml:space="preserve">Cooler Box</w:t>
            </w:r>
          </w:p>
        </w:tc>
        <w:tc>
          <w:tcPr/>
          <w:p>
            <w:pPr>
              <w:pStyle w:val="Compact"/>
              <w:jc w:val="left"/>
            </w:pPr>
            <w:r>
              <w:t xml:space="preserve">Insulated with ice packs (maintain 4°C)</w:t>
            </w:r>
          </w:p>
        </w:tc>
        <w:tc>
          <w:tcPr/>
          <w:p>
            <w:pPr>
              <w:pStyle w:val="Compact"/>
              <w:jc w:val="left"/>
            </w:pPr>
            <w:r>
              <w:t xml:space="preserve">3</w:t>
            </w:r>
          </w:p>
        </w:tc>
      </w:tr>
    </w:tbl>
    <w:bookmarkEnd w:id="24"/>
    <w:bookmarkStart w:id="28" w:name="methodology"/>
    <w:p>
      <w:pPr>
        <w:pStyle w:val="Heading2"/>
      </w:pPr>
      <w:r>
        <w:t xml:space="preserve">5. Methodology</w:t>
      </w:r>
    </w:p>
    <w:bookmarkStart w:id="25" w:name="pre-event-preparation"/>
    <w:p>
      <w:pPr>
        <w:pStyle w:val="Heading3"/>
      </w:pPr>
      <w:r>
        <w:t xml:space="preserve">5.1 Pre-Event Preparation</w:t>
      </w:r>
    </w:p>
    <w:p>
      <w:pPr>
        <w:pStyle w:val="FirstParagraph"/>
      </w:pPr>
      <w:r>
        <w:t xml:space="preserve">The Environmental Engineer must install autosamplers at the selected outfalls at least 24 hours prior to a predicted rainfall event of greater than 5mm. This ensures the capture of the "first flush," which is critical in Auckland due to the accumulation of pollutants on impervious surfaces during dry periods.</w:t>
      </w:r>
    </w:p>
    <w:bookmarkEnd w:id="25"/>
    <w:bookmarkStart w:id="26" w:name="sampling-procedure"/>
    <w:p>
      <w:pPr>
        <w:pStyle w:val="Heading3"/>
      </w:pPr>
      <w:r>
        <w:t xml:space="preserve">5.2 Sampling Procedure</w:t>
      </w:r>
    </w:p>
    <w:p>
      <w:pPr>
        <w:numPr>
          <w:ilvl w:val="0"/>
          <w:numId w:val="1003"/>
        </w:numPr>
        <w:pStyle w:val="Compact"/>
      </w:pPr>
      <w:r>
        <w:rPr>
          <w:bCs/>
          <w:b/>
        </w:rPr>
        <w:t xml:space="preserve">Triggering:</w:t>
      </w:r>
      <w:r>
        <w:t xml:space="preserve"> </w:t>
      </w:r>
      <w:r>
        <w:t xml:space="preserve">Configure autosamplers to initiate collection when flow velocity exceeds 0.1 m/s.</w:t>
      </w:r>
    </w:p>
    <w:p>
      <w:pPr>
        <w:numPr>
          <w:ilvl w:val="0"/>
          <w:numId w:val="1003"/>
        </w:numPr>
        <w:pStyle w:val="Compact"/>
      </w:pPr>
      <w:r>
        <w:rPr>
          <w:bCs/>
          <w:b/>
        </w:rPr>
        <w:t xml:space="preserve">Flow-Weighted Sampling:</w:t>
      </w:r>
      <w:r>
        <w:t xml:space="preserve"> </w:t>
      </w:r>
      <w:r>
        <w:t xml:space="preserve">Collect composite samples over the duration of the storm event to account for varying flow rates.</w:t>
      </w:r>
    </w:p>
    <w:p>
      <w:pPr>
        <w:numPr>
          <w:ilvl w:val="0"/>
          <w:numId w:val="1003"/>
        </w:numPr>
        <w:pStyle w:val="Compact"/>
      </w:pPr>
      <w:r>
        <w:rPr>
          <w:bCs/>
          <w:b/>
        </w:rPr>
        <w:t xml:space="preserve">Field Measurements:</w:t>
      </w:r>
      <w:r>
        <w:t xml:space="preserve"> </w:t>
      </w:r>
      <w:r>
        <w:t xml:space="preserve">Record pH, temperature, and turbidity at the start, midpoint, and end of the event using the calibrated field meter.</w:t>
      </w:r>
    </w:p>
    <w:p>
      <w:pPr>
        <w:numPr>
          <w:ilvl w:val="0"/>
          <w:numId w:val="1003"/>
        </w:numPr>
        <w:pStyle w:val="Compact"/>
      </w:pPr>
      <w:r>
        <w:rPr>
          <w:bCs/>
          <w:b/>
        </w:rPr>
        <w:t xml:space="preserve">Preservation:</w:t>
      </w:r>
      <w:r>
        <w:t xml:space="preserve"> </w:t>
      </w:r>
      <w:r>
        <w:t xml:space="preserve">Immediately place microbiological samples on ice. Add sulfuric acid to nutrient samples to preserve phosphorus levels, following NZS 5810 standards.</w:t>
      </w:r>
    </w:p>
    <w:bookmarkEnd w:id="26"/>
    <w:bookmarkStart w:id="27" w:name="laboratory-analysis"/>
    <w:p>
      <w:pPr>
        <w:pStyle w:val="Heading3"/>
      </w:pPr>
      <w:r>
        <w:t xml:space="preserve">5.3 Laboratory Analysis</w:t>
      </w:r>
    </w:p>
    <w:p>
      <w:pPr>
        <w:pStyle w:val="FirstParagraph"/>
      </w:pPr>
      <w:r>
        <w:t xml:space="preserve">Transport samples to an accredited laboratory within 6 hours of collection. Analysis must follow New Zealand Standards:</w:t>
      </w:r>
    </w:p>
    <w:p>
      <w:pPr>
        <w:numPr>
          <w:ilvl w:val="0"/>
          <w:numId w:val="1004"/>
        </w:numPr>
        <w:pStyle w:val="Compact"/>
      </w:pPr>
      <w:r>
        <w:rPr>
          <w:bCs/>
          <w:b/>
        </w:rPr>
        <w:t xml:space="preserve">TSS:</w:t>
      </w:r>
      <w:r>
        <w:t xml:space="preserve"> </w:t>
      </w:r>
      <w:r>
        <w:t xml:space="preserve">NZS 5810.10.1</w:t>
      </w:r>
    </w:p>
    <w:p>
      <w:pPr>
        <w:numPr>
          <w:ilvl w:val="0"/>
          <w:numId w:val="1004"/>
        </w:numPr>
        <w:pStyle w:val="Compact"/>
      </w:pPr>
      <w:r>
        <w:rPr>
          <w:bCs/>
          <w:b/>
        </w:rPr>
        <w:t xml:space="preserve">Total Phosphorus:</w:t>
      </w:r>
      <w:r>
        <w:t xml:space="preserve"> </w:t>
      </w:r>
      <w:r>
        <w:t xml:space="preserve">NZS 5810.10.3</w:t>
      </w:r>
    </w:p>
    <w:p>
      <w:pPr>
        <w:numPr>
          <w:ilvl w:val="0"/>
          <w:numId w:val="1004"/>
        </w:numPr>
        <w:pStyle w:val="Compact"/>
      </w:pPr>
      <w:r>
        <w:rPr>
          <w:bCs/>
          <w:b/>
        </w:rPr>
        <w:t xml:space="preserve">E. coli:</w:t>
      </w:r>
      <w:r>
        <w:t xml:space="preserve"> </w:t>
      </w:r>
      <w:r>
        <w:t xml:space="preserve">NZS 5810.10.4</w:t>
      </w:r>
    </w:p>
    <w:bookmarkEnd w:id="27"/>
    <w:bookmarkEnd w:id="28"/>
    <w:bookmarkStart w:id="29" w:name="data-management-and-reporting"/>
    <w:p>
      <w:pPr>
        <w:pStyle w:val="Heading2"/>
      </w:pPr>
      <w:r>
        <w:t xml:space="preserve">6. Data Management and Reporting</w:t>
      </w:r>
    </w:p>
    <w:p>
      <w:pPr>
        <w:pStyle w:val="FirstParagraph"/>
      </w:pPr>
      <w:r>
        <w:t xml:space="preserve">The Environmental Engineer is responsible for compiling data into a structured format. All raw data must be stored in the Auckland Council's designated environmental database.</w:t>
      </w:r>
    </w:p>
    <w:p>
      <w:pPr>
        <w:pStyle w:val="BodyText"/>
      </w:pPr>
      <w:r>
        <w:rPr>
          <w:bCs/>
          <w:b/>
        </w:rPr>
        <w:t xml:space="preserve">Reporting Requirements:</w:t>
      </w:r>
    </w:p>
    <w:p>
      <w:pPr>
        <w:numPr>
          <w:ilvl w:val="0"/>
          <w:numId w:val="1005"/>
        </w:numPr>
        <w:pStyle w:val="Compact"/>
      </w:pPr>
      <w:r>
        <w:t xml:space="preserve">Calculate loadings (kg/event) for TSS, TP, and E. coli.</w:t>
      </w:r>
    </w:p>
    <w:p>
      <w:pPr>
        <w:numPr>
          <w:ilvl w:val="0"/>
          <w:numId w:val="1005"/>
        </w:numPr>
        <w:pStyle w:val="Compact"/>
      </w:pPr>
      <w:r>
        <w:t xml:space="preserve">Compare results against the Auckland Plan water quality targets.</w:t>
      </w:r>
    </w:p>
    <w:p>
      <w:pPr>
        <w:numPr>
          <w:ilvl w:val="0"/>
          <w:numId w:val="1005"/>
        </w:numPr>
        <w:pStyle w:val="Compact"/>
      </w:pPr>
      <w:r>
        <w:t xml:space="preserve">Identify any exceedances that may require remediation or further investigation.</w:t>
      </w:r>
    </w:p>
    <w:bookmarkEnd w:id="29"/>
    <w:bookmarkStart w:id="30" w:name="X821d2f34bdaf57637cbbf49b6dc1cefe6766a7d"/>
    <w:p>
      <w:pPr>
        <w:pStyle w:val="Heading2"/>
      </w:pPr>
      <w:r>
        <w:t xml:space="preserve">7. Quality Assurance and Quality Control (QA/QC)</w:t>
      </w:r>
    </w:p>
    <w:p>
      <w:pPr>
        <w:pStyle w:val="FirstParagraph"/>
      </w:pPr>
      <w:r>
        <w:t xml:space="preserve">To ensure data integrity, the following QA/QC measures are mandatory:</w:t>
      </w:r>
    </w:p>
    <w:p>
      <w:pPr>
        <w:numPr>
          <w:ilvl w:val="0"/>
          <w:numId w:val="1006"/>
        </w:numPr>
        <w:pStyle w:val="Compact"/>
      </w:pPr>
      <w:r>
        <w:rPr>
          <w:bCs/>
          <w:b/>
        </w:rPr>
        <w:t xml:space="preserve">Blanks:</w:t>
      </w:r>
      <w:r>
        <w:t xml:space="preserve"> </w:t>
      </w:r>
      <w:r>
        <w:t xml:space="preserve">Include field blanks and equipment blanks in each sampling batch.</w:t>
      </w:r>
    </w:p>
    <w:p>
      <w:pPr>
        <w:numPr>
          <w:ilvl w:val="0"/>
          <w:numId w:val="1006"/>
        </w:numPr>
        <w:pStyle w:val="Compact"/>
      </w:pPr>
      <w:r>
        <w:rPr>
          <w:bCs/>
          <w:b/>
        </w:rPr>
        <w:t xml:space="preserve">Duplicates:</w:t>
      </w:r>
      <w:r>
        <w:t xml:space="preserve"> </w:t>
      </w:r>
      <w:r>
        <w:t xml:space="preserve">Collect duplicate samples for 10% of all events to assess precision.</w:t>
      </w:r>
    </w:p>
    <w:p>
      <w:pPr>
        <w:numPr>
          <w:ilvl w:val="0"/>
          <w:numId w:val="1006"/>
        </w:numPr>
        <w:pStyle w:val="Compact"/>
      </w:pPr>
      <w:r>
        <w:rPr>
          <w:bCs/>
          <w:b/>
        </w:rPr>
        <w:t xml:space="preserve">Calibration Logs:</w:t>
      </w:r>
      <w:r>
        <w:t xml:space="preserve"> </w:t>
      </w:r>
      <w:r>
        <w:t xml:space="preserve">Maintain records of all equipment calibrations performed prior to the experiment.</w:t>
      </w:r>
    </w:p>
    <w:bookmarkEnd w:id="30"/>
    <w:bookmarkStart w:id="31" w:name="conclusion"/>
    <w:p>
      <w:pPr>
        <w:pStyle w:val="Heading2"/>
      </w:pPr>
      <w:r>
        <w:t xml:space="preserve">8. Conclusion</w:t>
      </w:r>
    </w:p>
    <w:p>
      <w:pPr>
        <w:pStyle w:val="FirstParagraph"/>
      </w:pPr>
      <w:r>
        <w:t xml:space="preserve">This Experiment Protocol provides a robust framework for the Environmental Engineer to assess stormwater quality in Auckland, New Zealand. By strictly adhering to these procedures, we ensure that the data collected is scientifically valid, legally defensible, and useful for improving the environmental health of Auckland's waterways.</w:t>
      </w:r>
    </w:p>
    <w:bookmarkEnd w:id="31"/>
    <w:p>
      <w:pPr>
        <w:pStyle w:val="BodyText"/>
      </w:pPr>
      <w:r>
        <w:rPr>
          <w:bCs/>
          <w:b/>
        </w:rPr>
        <w:t xml:space="preserve">Disclaimer:</w:t>
      </w:r>
      <w:r>
        <w:t xml:space="preserve"> </w:t>
      </w:r>
      <w:r>
        <w:t xml:space="preserve">This document is a template for educational and professional reference. Always consult the latest Auckland Council guidelines and New Zealand Standards before commencing fieldwork.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Auckland Urban Water Quality Assessment</dc:title>
  <dc:creator/>
  <dc:language>en</dc:language>
  <cp:keywords/>
  <dcterms:created xsi:type="dcterms:W3CDTF">2026-10-10T07:01:09Z</dcterms:created>
  <dcterms:modified xsi:type="dcterms:W3CDTF">2026-10-10T07:01:09Z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