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Wellington</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31" w:name="X18238d325285f64c8897e81cbe1adc25d52fd68"/>
    <w:p>
      <w:pPr>
        <w:pStyle w:val="Heading1"/>
      </w:pPr>
      <w:r>
        <w:t xml:space="preserve">Experiment Protocol: Urban Stormwater Quality Assessment in Wellington</w:t>
      </w:r>
    </w:p>
    <w:p>
      <w:pPr>
        <w:pStyle w:val="FirstParagraph"/>
      </w:pPr>
      <w:r>
        <w:rPr>
          <w:bCs/>
          <w:b/>
        </w:rPr>
        <w:t xml:space="preserve">Project Title:</w:t>
      </w:r>
      <w:r>
        <w:t xml:space="preserve"> </w:t>
      </w:r>
      <w:r>
        <w:t xml:space="preserve">Assessment of Heavy Metal and Microplastic Concentrations in Wellington Harbour Tributaries</w:t>
      </w:r>
    </w:p>
    <w:p>
      <w:pPr>
        <w:pStyle w:val="BodyText"/>
      </w:pPr>
      <w:r>
        <w:rPr>
          <w:bCs/>
          <w:b/>
        </w:rPr>
        <w:t xml:space="preserve">Role:</w:t>
      </w:r>
      <w:r>
        <w:t xml:space="preserve"> </w:t>
      </w:r>
      <w:r>
        <w:t xml:space="preserve">Lead Environmental Engineer</w:t>
      </w:r>
    </w:p>
    <w:p>
      <w:pPr>
        <w:pStyle w:val="BodyText"/>
      </w:pPr>
      <w:r>
        <w:rPr>
          <w:bCs/>
          <w:b/>
        </w:rPr>
        <w:t xml:space="preserve">Location:</w:t>
      </w:r>
      <w:r>
        <w:t xml:space="preserve"> </w:t>
      </w:r>
      <w:r>
        <w:t xml:space="preserve">Wellington, New Zealand (Specifically: Tidal Creek and Hutt River Estuary)</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methodology required for the sampling and analysis of urban stormwater runoff in the Wellington region. As an Environmental Engineer operating within New Zealand Wellington, the primary objective is to quantify the impact of urbanization on local waterways, specifically focusing on the discharge of heavy metals (Zinc, Copper, Lead) and microplastics into Wellington Harbour.</w:t>
      </w:r>
    </w:p>
    <w:p>
      <w:pPr>
        <w:pStyle w:val="BodyText"/>
      </w:pPr>
      <w:r>
        <w:t xml:space="preserve">Wellington’s unique topography, characterized by steep catchments and high rainfall intensity, necessitates a specialized approach to stormwater management. This protocol aims to generate data that will inform local council policy and remediation strategies in alignment with the Resource Management Act 1991.</w:t>
      </w:r>
    </w:p>
    <w:bookmarkEnd w:id="20"/>
    <w:bookmarkStart w:id="21" w:name="scope-and-site-selection"/>
    <w:p>
      <w:pPr>
        <w:pStyle w:val="Heading2"/>
      </w:pPr>
      <w:r>
        <w:t xml:space="preserve">2. Scope and Site Selection</w:t>
      </w:r>
    </w:p>
    <w:p>
      <w:pPr>
        <w:pStyle w:val="FirstParagraph"/>
      </w:pPr>
      <w:r>
        <w:t xml:space="preserve">The scope of this experiment is limited to three specific stormwater outfalls located in the Wellington City Council jurisdiction. The sites were selected based on high urban density and proximity to sensitive marine ecosystems.</w:t>
      </w:r>
    </w:p>
    <w:p>
      <w:pPr>
        <w:numPr>
          <w:ilvl w:val="0"/>
          <w:numId w:val="1001"/>
        </w:numPr>
        <w:pStyle w:val="Compact"/>
      </w:pPr>
      <w:r>
        <w:rPr>
          <w:bCs/>
          <w:b/>
        </w:rPr>
        <w:t xml:space="preserve">Site A:</w:t>
      </w:r>
      <w:r>
        <w:t xml:space="preserve"> </w:t>
      </w:r>
      <w:r>
        <w:t xml:space="preserve">Thorndon Quay Outfall (High traffic density)</w:t>
      </w:r>
    </w:p>
    <w:p>
      <w:pPr>
        <w:numPr>
          <w:ilvl w:val="0"/>
          <w:numId w:val="1001"/>
        </w:numPr>
        <w:pStyle w:val="Compact"/>
      </w:pPr>
      <w:r>
        <w:rPr>
          <w:bCs/>
          <w:b/>
        </w:rPr>
        <w:t xml:space="preserve">Site B:</w:t>
      </w:r>
      <w:r>
        <w:t xml:space="preserve"> </w:t>
      </w:r>
      <w:r>
        <w:t xml:space="preserve">Oriental Bay Drainage Point (Residential/Commercial mix)</w:t>
      </w:r>
    </w:p>
    <w:p>
      <w:pPr>
        <w:numPr>
          <w:ilvl w:val="0"/>
          <w:numId w:val="1001"/>
        </w:numPr>
        <w:pStyle w:val="Compact"/>
      </w:pPr>
      <w:r>
        <w:rPr>
          <w:bCs/>
          <w:b/>
        </w:rPr>
        <w:t xml:space="preserve">Site C:</w:t>
      </w:r>
      <w:r>
        <w:t xml:space="preserve"> </w:t>
      </w:r>
      <w:r>
        <w:t xml:space="preserve">Hutt River Mouth (Industrial influence)</w:t>
      </w:r>
    </w:p>
    <w:p>
      <w:pPr>
        <w:pStyle w:val="FirstParagraph"/>
      </w:pPr>
      <w:r>
        <w:t xml:space="preserve">All activities must comply with the Health and Safety at Work Act 2015 and local iwi consultation protocols regarding tangata whenua interests in the waterways.</w:t>
      </w:r>
    </w:p>
    <w:bookmarkEnd w:id="21"/>
    <w:bookmarkStart w:id="22" w:name="equipment-and-materials"/>
    <w:p>
      <w:pPr>
        <w:pStyle w:val="Heading2"/>
      </w:pPr>
      <w:r>
        <w:t xml:space="preserve">3. Equipment and Materials</w:t>
      </w:r>
    </w:p>
    <w:p>
      <w:pPr>
        <w:pStyle w:val="FirstParagraph"/>
      </w:pPr>
      <w:r>
        <w:t xml:space="preserve">The Environmental Engineer must ensure all equipment is calibrated and certified prior to deployment. The following materials are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Autosampler</w:t>
            </w:r>
          </w:p>
        </w:tc>
        <w:tc>
          <w:tcPr/>
          <w:p>
            <w:pPr>
              <w:pStyle w:val="Compact"/>
              <w:jc w:val="left"/>
            </w:pPr>
            <w:r>
              <w:t xml:space="preserve">Flow-weighted composite sampling capability</w:t>
            </w:r>
          </w:p>
        </w:tc>
        <w:tc>
          <w:tcPr/>
          <w:p>
            <w:pPr>
              <w:pStyle w:val="Compact"/>
              <w:jc w:val="left"/>
            </w:pPr>
            <w:r>
              <w:t xml:space="preserve">3</w:t>
            </w:r>
          </w:p>
        </w:tc>
      </w:tr>
      <w:tr>
        <w:tc>
          <w:tcPr/>
          <w:p>
            <w:pPr>
              <w:pStyle w:val="Compact"/>
              <w:jc w:val="left"/>
            </w:pPr>
            <w:r>
              <w:t xml:space="preserve">Sample Bottles</w:t>
            </w:r>
          </w:p>
        </w:tc>
        <w:tc>
          <w:tcPr/>
          <w:p>
            <w:pPr>
              <w:pStyle w:val="Compact"/>
              <w:jc w:val="left"/>
            </w:pPr>
            <w:r>
              <w:t xml:space="preserve">1L HDPE, acid-washed for metals</w:t>
            </w:r>
          </w:p>
        </w:tc>
        <w:tc>
          <w:tcPr/>
          <w:p>
            <w:pPr>
              <w:pStyle w:val="Compact"/>
              <w:jc w:val="left"/>
            </w:pPr>
            <w:r>
              <w:t xml:space="preserve">50</w:t>
            </w:r>
          </w:p>
        </w:tc>
      </w:tr>
      <w:tr>
        <w:tc>
          <w:tcPr/>
          <w:p>
            <w:pPr>
              <w:pStyle w:val="Compact"/>
              <w:jc w:val="left"/>
            </w:pPr>
            <w:r>
              <w:t xml:space="preserve">Microplastic Nets</w:t>
            </w:r>
          </w:p>
        </w:tc>
        <w:tc>
          <w:tcPr/>
          <w:p>
            <w:pPr>
              <w:pStyle w:val="Compact"/>
              <w:jc w:val="left"/>
            </w:pPr>
            <w:r>
              <w:t xml:space="preserve">333-micron mesh size</w:t>
            </w:r>
          </w:p>
        </w:tc>
        <w:tc>
          <w:tcPr/>
          <w:p>
            <w:pPr>
              <w:pStyle w:val="Compact"/>
              <w:jc w:val="left"/>
            </w:pPr>
            <w:r>
              <w:t xml:space="preserve">3</w:t>
            </w:r>
          </w:p>
        </w:tc>
      </w:tr>
      <w:tr>
        <w:tc>
          <w:tcPr/>
          <w:p>
            <w:pPr>
              <w:pStyle w:val="Compact"/>
              <w:jc w:val="left"/>
            </w:pPr>
            <w:r>
              <w:t xml:space="preserve">PPE</w:t>
            </w:r>
          </w:p>
        </w:tc>
        <w:tc>
          <w:tcPr/>
          <w:p>
            <w:pPr>
              <w:pStyle w:val="Compact"/>
              <w:jc w:val="left"/>
            </w:pPr>
            <w:r>
              <w:t xml:space="preserve">High-vis vest, safety boots, nitrile gloves, face shield</w:t>
            </w:r>
          </w:p>
        </w:tc>
        <w:tc>
          <w:tcPr/>
          <w:p>
            <w:pPr>
              <w:pStyle w:val="Compact"/>
              <w:jc w:val="left"/>
            </w:pPr>
            <w:r>
              <w:t xml:space="preserve">Per person</w:t>
            </w:r>
          </w:p>
        </w:tc>
      </w:tr>
      <w:tr>
        <w:tc>
          <w:tcPr/>
          <w:p>
            <w:pPr>
              <w:pStyle w:val="Compact"/>
              <w:jc w:val="left"/>
            </w:pPr>
            <w:r>
              <w:t xml:space="preserve">Field Kit</w:t>
            </w:r>
          </w:p>
        </w:tc>
        <w:tc>
          <w:tcPr/>
          <w:p>
            <w:pPr>
              <w:pStyle w:val="Compact"/>
              <w:jc w:val="left"/>
            </w:pPr>
            <w:r>
              <w:t xml:space="preserve">pH meter, DO meter, Conductivity meter, Thermometer</w:t>
            </w:r>
          </w:p>
        </w:tc>
        <w:tc>
          <w:tcPr/>
          <w:p>
            <w:pPr>
              <w:pStyle w:val="Compact"/>
              <w:jc w:val="left"/>
            </w:pPr>
            <w:r>
              <w:t xml:space="preserve">1 set</w:t>
            </w:r>
          </w:p>
        </w:tc>
      </w:tr>
    </w:tbl>
    <w:bookmarkEnd w:id="22"/>
    <w:bookmarkStart w:id="23" w:name="safety-and-risk-management"/>
    <w:p>
      <w:pPr>
        <w:pStyle w:val="Heading2"/>
      </w:pPr>
      <w:r>
        <w:t xml:space="preserve">4. Safety and Risk Management</w:t>
      </w:r>
    </w:p>
    <w:p>
      <w:pPr>
        <w:pStyle w:val="FirstParagraph"/>
      </w:pPr>
      <w:r>
        <w:rPr>
          <w:bCs/>
          <w:b/>
        </w:rPr>
        <w:t xml:space="preserve">CRITICAL SAFETY NOTE:</w:t>
      </w:r>
      <w:r>
        <w:t xml:space="preserve"> </w:t>
      </w:r>
      <w:r>
        <w:t xml:space="preserve">Working near Wellington Harbour edges and stormwater drains presents significant risks including slip hazards, drowning, and exposure to hazardous substances.</w:t>
      </w:r>
    </w:p>
    <w:p>
      <w:pPr>
        <w:pStyle w:val="BodyText"/>
      </w:pPr>
      <w:r>
        <w:t xml:space="preserve">Before commencing the experiment, the Environmental Engineer must conduct a Job Safety Analysis (JSA). Key risks include:</w:t>
      </w:r>
    </w:p>
    <w:p>
      <w:pPr>
        <w:numPr>
          <w:ilvl w:val="0"/>
          <w:numId w:val="1002"/>
        </w:numPr>
        <w:pStyle w:val="Compact"/>
      </w:pPr>
      <w:r>
        <w:rPr>
          <w:bCs/>
          <w:b/>
        </w:rPr>
        <w:t xml:space="preserve">Biological Hazards:</w:t>
      </w:r>
      <w:r>
        <w:t xml:space="preserve"> </w:t>
      </w:r>
      <w:r>
        <w:t xml:space="preserve">Stormwater may contain pathogens. Gloves must be worn at all times during sampling.</w:t>
      </w:r>
    </w:p>
    <w:p>
      <w:pPr>
        <w:numPr>
          <w:ilvl w:val="0"/>
          <w:numId w:val="1002"/>
        </w:numPr>
        <w:pStyle w:val="Compact"/>
      </w:pPr>
      <w:r>
        <w:rPr>
          <w:bCs/>
          <w:b/>
        </w:rPr>
        <w:t xml:space="preserve">Chemical Hazards:</w:t>
      </w:r>
      <w:r>
        <w:t xml:space="preserve"> </w:t>
      </w:r>
      <w:r>
        <w:t xml:space="preserve">Potential exposure to oil, grease, and heavy metals. Immediate washing required if contact occurs.</w:t>
      </w:r>
    </w:p>
    <w:p>
      <w:pPr>
        <w:numPr>
          <w:ilvl w:val="0"/>
          <w:numId w:val="1002"/>
        </w:numPr>
        <w:pStyle w:val="Compact"/>
      </w:pPr>
      <w:r>
        <w:rPr>
          <w:bCs/>
          <w:b/>
        </w:rPr>
        <w:t xml:space="preserve">Environmental Hazards:</w:t>
      </w:r>
      <w:r>
        <w:t xml:space="preserve"> </w:t>
      </w:r>
      <w:r>
        <w:t xml:space="preserve">Wellington weather is unpredictable. Sampling must cease if wind speeds exceed 60km/h or if flash flood warnings are issued.</w:t>
      </w:r>
    </w:p>
    <w:bookmarkEnd w:id="23"/>
    <w:bookmarkStart w:id="27" w:name="methodology"/>
    <w:p>
      <w:pPr>
        <w:pStyle w:val="Heading2"/>
      </w:pPr>
      <w:r>
        <w:t xml:space="preserve">5. Methodology</w:t>
      </w:r>
    </w:p>
    <w:bookmarkStart w:id="24" w:name="pre-sampling-preparation"/>
    <w:p>
      <w:pPr>
        <w:pStyle w:val="Heading3"/>
      </w:pPr>
      <w:r>
        <w:t xml:space="preserve">5.1 Pre-Sampling Preparation</w:t>
      </w:r>
    </w:p>
    <w:p>
      <w:pPr>
        <w:pStyle w:val="FirstParagraph"/>
      </w:pPr>
      <w:r>
        <w:t xml:space="preserve">All glassware and plastic containers must be rinsed three times with deionized water. For heavy metal analysis, bottles must be acid-washed with 10% nitric acid. The autosamplers must be programmed to collect flow-weighted samples over a 24-hour period to capture peak storm events, which are common in Wellington’s climate.</w:t>
      </w:r>
    </w:p>
    <w:bookmarkEnd w:id="24"/>
    <w:bookmarkStart w:id="25" w:name="field-sampling-procedure"/>
    <w:p>
      <w:pPr>
        <w:pStyle w:val="Heading3"/>
      </w:pPr>
      <w:r>
        <w:t xml:space="preserve">5.2 Field Sampling Procedure</w:t>
      </w:r>
    </w:p>
    <w:p>
      <w:pPr>
        <w:pStyle w:val="FirstParagraph"/>
      </w:pPr>
      <w:r>
        <w:t xml:space="preserve">The Environmental Engineer will deploy to the sites during a forecasted rainfall event of at least 10mm. The procedure is as follows:</w:t>
      </w:r>
    </w:p>
    <w:p>
      <w:pPr>
        <w:numPr>
          <w:ilvl w:val="0"/>
          <w:numId w:val="1003"/>
        </w:numPr>
        <w:pStyle w:val="Compact"/>
      </w:pPr>
      <w:r>
        <w:t xml:space="preserve">Calibrate all field meters (pH, DO, Conductivity) using standard buffer solutions.</w:t>
      </w:r>
    </w:p>
    <w:p>
      <w:pPr>
        <w:numPr>
          <w:ilvl w:val="0"/>
          <w:numId w:val="1003"/>
        </w:numPr>
        <w:pStyle w:val="Compact"/>
      </w:pPr>
      <w:r>
        <w:t xml:space="preserve">Record initial site conditions, including weather data and visual observations of the outfall.</w:t>
      </w:r>
    </w:p>
    <w:p>
      <w:pPr>
        <w:numPr>
          <w:ilvl w:val="0"/>
          <w:numId w:val="1003"/>
        </w:numPr>
        <w:pStyle w:val="Compact"/>
      </w:pPr>
      <w:r>
        <w:t xml:space="preserve">Deploy the autosampler into the stormwater pipe or channel, ensuring the intake is submerged but not clogged by debris.</w:t>
      </w:r>
    </w:p>
    <w:p>
      <w:pPr>
        <w:numPr>
          <w:ilvl w:val="0"/>
          <w:numId w:val="1003"/>
        </w:numPr>
        <w:pStyle w:val="Compact"/>
      </w:pPr>
      <w:r>
        <w:t xml:space="preserve">Simultaneously, deploy microplastic nets downstream of the outfall for a duration of 30 minutes to capture floating particulates.</w:t>
      </w:r>
    </w:p>
    <w:p>
      <w:pPr>
        <w:numPr>
          <w:ilvl w:val="0"/>
          <w:numId w:val="1003"/>
        </w:numPr>
        <w:pStyle w:val="Compact"/>
      </w:pPr>
      <w:r>
        <w:t xml:space="preserve">Collect grab samples for immediate analysis of temperature and pH.</w:t>
      </w:r>
    </w:p>
    <w:bookmarkEnd w:id="25"/>
    <w:bookmarkStart w:id="26" w:name="sample-preservation-and-transport"/>
    <w:p>
      <w:pPr>
        <w:pStyle w:val="Heading3"/>
      </w:pPr>
      <w:r>
        <w:t xml:space="preserve">5.3 Sample Preservation and Transport</w:t>
      </w:r>
    </w:p>
    <w:p>
      <w:pPr>
        <w:pStyle w:val="FirstParagraph"/>
      </w:pPr>
      <w:r>
        <w:t xml:space="preserve">Upon collection, samples must be preserved immediately to prevent chemical alteration:</w:t>
      </w:r>
    </w:p>
    <w:p>
      <w:pPr>
        <w:numPr>
          <w:ilvl w:val="0"/>
          <w:numId w:val="1004"/>
        </w:numPr>
        <w:pStyle w:val="Compact"/>
      </w:pPr>
      <w:r>
        <w:rPr>
          <w:bCs/>
          <w:b/>
        </w:rPr>
        <w:t xml:space="preserve">Heavy Metals:</w:t>
      </w:r>
      <w:r>
        <w:t xml:space="preserve"> </w:t>
      </w:r>
      <w:r>
        <w:t xml:space="preserve">Acidify samples to pH &lt; 2 using concentrated nitric acid.</w:t>
      </w:r>
    </w:p>
    <w:p>
      <w:pPr>
        <w:numPr>
          <w:ilvl w:val="0"/>
          <w:numId w:val="1004"/>
        </w:numPr>
        <w:pStyle w:val="Compact"/>
      </w:pPr>
      <w:r>
        <w:rPr>
          <w:bCs/>
          <w:b/>
        </w:rPr>
        <w:t xml:space="preserve">Microplastics:</w:t>
      </w:r>
      <w:r>
        <w:t xml:space="preserve"> </w:t>
      </w:r>
      <w:r>
        <w:t xml:space="preserve">Store nets in glass jars with ethanol to prevent degradation.</w:t>
      </w:r>
    </w:p>
    <w:p>
      <w:pPr>
        <w:numPr>
          <w:ilvl w:val="0"/>
          <w:numId w:val="1004"/>
        </w:numPr>
        <w:pStyle w:val="Compact"/>
      </w:pPr>
      <w:r>
        <w:rPr>
          <w:bCs/>
          <w:b/>
        </w:rPr>
        <w:t xml:space="preserve">General:</w:t>
      </w:r>
      <w:r>
        <w:t xml:space="preserve"> </w:t>
      </w:r>
      <w:r>
        <w:t xml:space="preserve">All samples must be kept at 4°C in a cooler with ice packs during transport to the laboratory in Wellington.</w:t>
      </w:r>
    </w:p>
    <w:bookmarkEnd w:id="26"/>
    <w:bookmarkEnd w:id="27"/>
    <w:bookmarkStart w:id="28" w:name="laboratory-analysis"/>
    <w:p>
      <w:pPr>
        <w:pStyle w:val="Heading2"/>
      </w:pPr>
      <w:r>
        <w:t xml:space="preserve">6. Laboratory Analysis</w:t>
      </w:r>
    </w:p>
    <w:p>
      <w:pPr>
        <w:pStyle w:val="FirstParagraph"/>
      </w:pPr>
      <w:r>
        <w:t xml:space="preserve">Samples will be analyzed by an accredited laboratory in New Zealand Wellington. The analysis will include:</w:t>
      </w:r>
    </w:p>
    <w:p>
      <w:pPr>
        <w:numPr>
          <w:ilvl w:val="0"/>
          <w:numId w:val="1005"/>
        </w:numPr>
        <w:pStyle w:val="Compact"/>
      </w:pPr>
      <w:r>
        <w:rPr>
          <w:bCs/>
          <w:b/>
        </w:rPr>
        <w:t xml:space="preserve">ICP-MS:</w:t>
      </w:r>
      <w:r>
        <w:t xml:space="preserve"> </w:t>
      </w:r>
      <w:r>
        <w:t xml:space="preserve">Inductively Coupled Plasma Mass Spectrometry for heavy metal quantification.</w:t>
      </w:r>
    </w:p>
    <w:p>
      <w:pPr>
        <w:numPr>
          <w:ilvl w:val="0"/>
          <w:numId w:val="1005"/>
        </w:numPr>
        <w:pStyle w:val="Compact"/>
      </w:pPr>
      <w:r>
        <w:rPr>
          <w:bCs/>
          <w:b/>
        </w:rPr>
        <w:t xml:space="preserve">FTIR Spectroscopy:</w:t>
      </w:r>
      <w:r>
        <w:t xml:space="preserve"> </w:t>
      </w:r>
      <w:r>
        <w:t xml:space="preserve">Fourier Transform Infrared Spectroscopy for identifying polymer types in microplastics.</w:t>
      </w:r>
    </w:p>
    <w:p>
      <w:pPr>
        <w:numPr>
          <w:ilvl w:val="0"/>
          <w:numId w:val="1005"/>
        </w:numPr>
        <w:pStyle w:val="Compact"/>
      </w:pPr>
      <w:r>
        <w:rPr>
          <w:bCs/>
          <w:b/>
        </w:rPr>
        <w:t xml:space="preserve">Standard Methods:</w:t>
      </w:r>
      <w:r>
        <w:t xml:space="preserve"> </w:t>
      </w:r>
      <w:r>
        <w:t xml:space="preserve">Compliance with NZS 5810 for water quality testing.</w:t>
      </w:r>
    </w:p>
    <w:bookmarkEnd w:id="28"/>
    <w:bookmarkStart w:id="29" w:name="data-analysis-and-reporting"/>
    <w:p>
      <w:pPr>
        <w:pStyle w:val="Heading2"/>
      </w:pPr>
      <w:r>
        <w:t xml:space="preserve">7. Data Analysis and Reporting</w:t>
      </w:r>
    </w:p>
    <w:p>
      <w:pPr>
        <w:pStyle w:val="FirstParagraph"/>
      </w:pPr>
      <w:r>
        <w:t xml:space="preserve">The Environmental Engineer is responsible for compiling the data into a comprehensive report. The report must compare findings against the National Environmental Standards for Freshwater and Marine Water. Statistical analysis will be performed to determine correlations between rainfall intensity and pollutant load. Recommendations for stormwater treatment upgrades will be formulated based on the results.</w:t>
      </w:r>
    </w:p>
    <w:bookmarkEnd w:id="29"/>
    <w:bookmarkStart w:id="30" w:name="conclusion"/>
    <w:p>
      <w:pPr>
        <w:pStyle w:val="Heading2"/>
      </w:pPr>
      <w:r>
        <w:t xml:space="preserve">8. Conclusion</w:t>
      </w:r>
    </w:p>
    <w:p>
      <w:pPr>
        <w:pStyle w:val="FirstParagraph"/>
      </w:pPr>
      <w:r>
        <w:t xml:space="preserve">This Experiment Protocol provides a structured framework for assessing water quality in Wellington. By adhering to these guidelines, the Environmental Engineer ensures data integrity, personnel safety, and regulatory compliance, contributing to the sustainable management of New Zealand Wellington’s precious water resources.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Wellington Urban Water Quality Assessment</dc:title>
  <dc:creator/>
  <dc:language>en</dc:language>
  <cp:keywords/>
  <dcterms:created xsi:type="dcterms:W3CDTF">2026-10-10T05:12:31Z</dcterms:created>
  <dcterms:modified xsi:type="dcterms:W3CDTF">2026-10-10T05:12:31Z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