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Air</w:t>
      </w:r>
      <w:r>
        <w:t xml:space="preserve"> </w:t>
      </w:r>
      <w:r>
        <w:t xml:space="preserve">Quality</w:t>
      </w:r>
      <w:r>
        <w:t xml:space="preserve"> </w:t>
      </w:r>
      <w:r>
        <w:t xml:space="preserve">Assessment</w:t>
      </w:r>
      <w:r>
        <w:t xml:space="preserve"> </w:t>
      </w:r>
      <w:r>
        <w:t xml:space="preserve">in</w:t>
      </w:r>
      <w:r>
        <w:t xml:space="preserve"> </w:t>
      </w:r>
      <w:r>
        <w:t xml:space="preserve">Moscow</w:t>
      </w:r>
    </w:p>
    <w:bookmarkStart w:id="32" w:name="Xfd7f4c621c4db60c05ca4c8c361d6a2b331f8cb"/>
    <w:p>
      <w:pPr>
        <w:pStyle w:val="Heading1"/>
      </w:pPr>
      <w:r>
        <w:t xml:space="preserve">Experiment Protocol: Urban Air Quality Assessment in Moscow</w:t>
      </w:r>
    </w:p>
    <w:p>
      <w:pPr>
        <w:pStyle w:val="FirstParagraph"/>
      </w:pPr>
      <w:r>
        <w:rPr>
          <w:bCs/>
          <w:b/>
        </w:rPr>
        <w:t xml:space="preserve">Protocol ID:</w:t>
      </w:r>
      <w:r>
        <w:t xml:space="preserve"> </w:t>
      </w:r>
      <w:r>
        <w:t xml:space="preserve">ENV-MOW-2024-089</w:t>
      </w:r>
    </w:p>
    <w:p>
      <w:pPr>
        <w:pStyle w:val="BodyText"/>
      </w:pPr>
      <w:r>
        <w:rPr>
          <w:bCs/>
          <w:b/>
        </w:rPr>
        <w:t xml:space="preserve">Date of Issue:</w:t>
      </w:r>
      <w:r>
        <w:t xml:space="preserve"> </w:t>
      </w:r>
      <w:r>
        <w:t xml:space="preserve">October 24, 2024</w:t>
      </w:r>
    </w:p>
    <w:p>
      <w:pPr>
        <w:pStyle w:val="BodyText"/>
      </w:pPr>
      <w:r>
        <w:rPr>
          <w:bCs/>
          <w:b/>
        </w:rPr>
        <w:t xml:space="preserve">Location:</w:t>
      </w:r>
      <w:r>
        <w:t xml:space="preserve"> </w:t>
      </w:r>
      <w:r>
        <w:t xml:space="preserve">Moscow, Russia (Central Administrative Okrug)</w:t>
      </w:r>
    </w:p>
    <w:p>
      <w:pPr>
        <w:pStyle w:val="BodyText"/>
      </w:pPr>
      <w:r>
        <w:rPr>
          <w:bCs/>
          <w:b/>
        </w:rPr>
        <w:t xml:space="preserve">Lead Environmental Engineer:</w:t>
      </w:r>
      <w:r>
        <w:t xml:space="preserve"> </w:t>
      </w:r>
      <w:r>
        <w:t xml:space="preserve">Dr. Alexei Volkov</w:t>
      </w:r>
    </w:p>
    <w:p>
      <w:pPr>
        <w:pStyle w:val="BodyText"/>
      </w:pPr>
      <w:r>
        <w:rPr>
          <w:bCs/>
          <w:b/>
        </w:rPr>
        <w:t xml:space="preserve">Affiliation:</w:t>
      </w:r>
      <w:r>
        <w:t xml:space="preserve"> </w:t>
      </w:r>
      <w:r>
        <w:t xml:space="preserve">Institute of Urban Ecology, Moscow</w:t>
      </w:r>
    </w:p>
    <w:bookmarkStart w:id="20" w:name="introduction-and-objective"/>
    <w:p>
      <w:pPr>
        <w:pStyle w:val="Heading2"/>
      </w:pPr>
      <w:r>
        <w:t xml:space="preserve">1. Introduction and Objective</w:t>
      </w:r>
    </w:p>
    <w:p>
      <w:pPr>
        <w:pStyle w:val="FirstParagraph"/>
      </w:pPr>
      <w:r>
        <w:t xml:space="preserve">This Experiment Protocol outlines the methodology for assessing particulate matter (PM2.5 and PM10) and nitrogen dioxide (NO2) concentrations in high-traffic zones of Moscow, Russia. The primary objective is to evaluate the efficacy of recent green infrastructure initiatives implemented by the Moscow Department of Natural Resources and Environmental Protection. As an Environmental Engineer, the lead researcher is tasked with ensuring that data collection adheres to both international ISO standards and the specific regulatory frameworks of the Russian Federation, specifically GOST R 52269-2004.</w:t>
      </w:r>
    </w:p>
    <w:p>
      <w:pPr>
        <w:pStyle w:val="BodyText"/>
      </w:pPr>
      <w:r>
        <w:t xml:space="preserve">The study aims to correlate traffic density with pollutant levels during the winter heating season, a critical period for air quality in Russia Moscow due to the combination of vehicular emissions and industrial heating requirements.</w:t>
      </w:r>
    </w:p>
    <w:bookmarkEnd w:id="20"/>
    <w:bookmarkStart w:id="21" w:name="scope-and-study-area"/>
    <w:p>
      <w:pPr>
        <w:pStyle w:val="Heading2"/>
      </w:pPr>
      <w:r>
        <w:t xml:space="preserve">2. Scope and Study Area</w:t>
      </w:r>
    </w:p>
    <w:p>
      <w:pPr>
        <w:pStyle w:val="FirstParagraph"/>
      </w:pPr>
      <w:r>
        <w:t xml:space="preserve">The experiment will be conducted within the Central Administrative Okrug of Moscow. Specific sampling sites have been selected to represent diverse urban environments:</w:t>
      </w:r>
    </w:p>
    <w:p>
      <w:pPr>
        <w:numPr>
          <w:ilvl w:val="0"/>
          <w:numId w:val="1001"/>
        </w:numPr>
        <w:pStyle w:val="Compact"/>
      </w:pPr>
      <w:r>
        <w:rPr>
          <w:bCs/>
          <w:b/>
        </w:rPr>
        <w:t xml:space="preserve">Site A:</w:t>
      </w:r>
      <w:r>
        <w:t xml:space="preserve"> </w:t>
      </w:r>
      <w:r>
        <w:t xml:space="preserve">Garden Ring Road (High vehicular traffic, limited greenery).</w:t>
      </w:r>
    </w:p>
    <w:p>
      <w:pPr>
        <w:numPr>
          <w:ilvl w:val="0"/>
          <w:numId w:val="1001"/>
        </w:numPr>
        <w:pStyle w:val="Compact"/>
      </w:pPr>
      <w:r>
        <w:rPr>
          <w:bCs/>
          <w:b/>
        </w:rPr>
        <w:t xml:space="preserve">Site B:</w:t>
      </w:r>
      <w:r>
        <w:t xml:space="preserve"> </w:t>
      </w:r>
      <w:r>
        <w:t xml:space="preserve">Gorky Park (High pedestrian traffic, significant green infrastructure).</w:t>
      </w:r>
    </w:p>
    <w:p>
      <w:pPr>
        <w:numPr>
          <w:ilvl w:val="0"/>
          <w:numId w:val="1001"/>
        </w:numPr>
        <w:pStyle w:val="Compact"/>
      </w:pPr>
      <w:r>
        <w:rPr>
          <w:bCs/>
          <w:b/>
        </w:rPr>
        <w:t xml:space="preserve">Site C:</w:t>
      </w:r>
      <w:r>
        <w:t xml:space="preserve"> </w:t>
      </w:r>
      <w:r>
        <w:t xml:space="preserve">Industrial Zone near Tagansky District (Mixed industrial and residential).</w:t>
      </w:r>
    </w:p>
    <w:p>
      <w:pPr>
        <w:pStyle w:val="FirstParagraph"/>
      </w:pPr>
      <w:r>
        <w:t xml:space="preserve">These locations were chosen to provide a comprehensive view of the environmental impact across different sectors of the city.</w:t>
      </w:r>
    </w:p>
    <w:bookmarkEnd w:id="21"/>
    <w:bookmarkStart w:id="25" w:name="methodology"/>
    <w:p>
      <w:pPr>
        <w:pStyle w:val="Heading2"/>
      </w:pPr>
      <w:r>
        <w:t xml:space="preserve">3. Methodology</w:t>
      </w:r>
    </w:p>
    <w:bookmarkStart w:id="22" w:name="equipment-and-calibration"/>
    <w:p>
      <w:pPr>
        <w:pStyle w:val="Heading3"/>
      </w:pPr>
      <w:r>
        <w:t xml:space="preserve">3.1 Equipment and Calibration</w:t>
      </w:r>
    </w:p>
    <w:p>
      <w:pPr>
        <w:pStyle w:val="FirstParagraph"/>
      </w:pPr>
      <w:r>
        <w:t xml:space="preserve">The Environmental Engineer will utilize beta attenuation monitors (BAM) for particulate matter and chemiluminescence analyzers for NO2. All equipment must be calibrated prior to deployment according to manufacturer specifications and GOST standards. Calibration logs must be maintained and attached to this protocol.</w:t>
      </w:r>
    </w:p>
    <w:bookmarkEnd w:id="22"/>
    <w:bookmarkStart w:id="23" w:name="sampling-duration-and-frequency"/>
    <w:p>
      <w:pPr>
        <w:pStyle w:val="Heading3"/>
      </w:pPr>
      <w:r>
        <w:t xml:space="preserve">3.2 Sampling Duration and Frequency</w:t>
      </w:r>
    </w:p>
    <w:p>
      <w:pPr>
        <w:pStyle w:val="FirstParagraph"/>
      </w:pPr>
      <w:r>
        <w:t xml:space="preserve">Data collection will occur over a period of 30 days, from November 1 to November 30, 2024. Continuous monitoring will be performed at 15-minute intervals. This frequency allows for the detection of peak pollution events typically associated with morning and evening rush hours in Moscow.</w:t>
      </w:r>
    </w:p>
    <w:bookmarkEnd w:id="23"/>
    <w:bookmarkStart w:id="24" w:name="meteorological-data-integration"/>
    <w:p>
      <w:pPr>
        <w:pStyle w:val="Heading3"/>
      </w:pPr>
      <w:r>
        <w:t xml:space="preserve">3.3 Meteorological Data Integration</w:t>
      </w:r>
    </w:p>
    <w:p>
      <w:pPr>
        <w:pStyle w:val="FirstParagraph"/>
      </w:pPr>
      <w:r>
        <w:t xml:space="preserve">Given the climatic conditions of Russia Moscow, meteorological factors such as temperature, humidity, wind speed, and direction are critical. Data will be synchronized with local meteorological stations to account for temperature inversions, which are common in the region during winter and can trap pollutants near the ground.</w:t>
      </w:r>
    </w:p>
    <w:bookmarkEnd w:id="24"/>
    <w:bookmarkEnd w:id="25"/>
    <w:bookmarkStart w:id="26" w:name="safety-and-compliance"/>
    <w:p>
      <w:pPr>
        <w:pStyle w:val="Heading2"/>
      </w:pPr>
      <w:r>
        <w:t xml:space="preserve">4. Safety and Compliance</w:t>
      </w:r>
    </w:p>
    <w:p>
      <w:pPr>
        <w:pStyle w:val="FirstParagraph"/>
      </w:pPr>
      <w:r>
        <w:t xml:space="preserve">All personnel involved in this experiment must adhere to the occupational safety regulations of the Russian Federation. Personal protective equipment (PPE) is mandatory when handling sampling equipment in high-traffic areas. Furthermore, the experiment must comply with the Federal Law "On Environmental Protection" and local Moscow decrees regarding environmental monitoring.</w:t>
      </w:r>
    </w:p>
    <w:p>
      <w:pPr>
        <w:pStyle w:val="BodyText"/>
      </w:pPr>
      <w:r>
        <w:t xml:space="preserve">In the event of equipment failure or hazardous conditions, the Environmental Engineer is authorized to halt the experiment immediately and report to the supervisory committee.</w:t>
      </w:r>
    </w:p>
    <w:bookmarkEnd w:id="26"/>
    <w:bookmarkStart w:id="27" w:name="data-analysis"/>
    <w:p>
      <w:pPr>
        <w:pStyle w:val="Heading2"/>
      </w:pPr>
      <w:r>
        <w:t xml:space="preserve">5. Data Analysis</w:t>
      </w:r>
    </w:p>
    <w:p>
      <w:pPr>
        <w:pStyle w:val="FirstParagraph"/>
      </w:pPr>
      <w:r>
        <w:t xml:space="preserve">Collected data will be analyzed using statistical software to determine mean concentrations, peak values, and trends. The results will be compared against the Maximum Permissible Concentrations (MPC) established by Russian sanitary norms (SanPiN). Special attention will be paid to exceedances of MPC values, which may indicate a need for regulatory intervention.</w:t>
      </w:r>
    </w:p>
    <w:p>
      <w:pPr>
        <w:pStyle w:val="BodyText"/>
      </w:pPr>
      <w:r>
        <w:t xml:space="preserve">The analysis will also include a spatial distribution map of pollutants across the selected sites in Moscow, providing a visual representation of air quality variations.</w:t>
      </w:r>
    </w:p>
    <w:bookmarkEnd w:id="27"/>
    <w:bookmarkStart w:id="28" w:name="reporting-and-dissemination"/>
    <w:p>
      <w:pPr>
        <w:pStyle w:val="Heading2"/>
      </w:pPr>
      <w:r>
        <w:t xml:space="preserve">6. Reporting and Dissemination</w:t>
      </w:r>
    </w:p>
    <w:p>
      <w:pPr>
        <w:pStyle w:val="FirstParagraph"/>
      </w:pPr>
      <w:r>
        <w:t xml:space="preserve">A comprehensive report detailing the findings of this experiment will be submitted to the Moscow Department of Natural Resources and Environmental Protection within 60 days of the study's conclusion. The report will include recommendations for policy adjustments or additional green infrastructure projects based on the data collected.</w:t>
      </w:r>
    </w:p>
    <w:p>
      <w:pPr>
        <w:pStyle w:val="BodyText"/>
      </w:pPr>
      <w:r>
        <w:t xml:space="preserve">Key findings may also be published in peer-reviewed journals to contribute to the broader understanding of urban air quality in large metropolitan areas like Russia Moscow.</w:t>
      </w:r>
    </w:p>
    <w:bookmarkEnd w:id="28"/>
    <w:bookmarkStart w:id="31" w:name="appendices"/>
    <w:p>
      <w:pPr>
        <w:pStyle w:val="Heading2"/>
      </w:pPr>
      <w:r>
        <w:t xml:space="preserve">7. Appendices</w:t>
      </w:r>
    </w:p>
    <w:bookmarkStart w:id="29" w:name="equipment-list"/>
    <w:p>
      <w:pPr>
        <w:pStyle w:val="Heading3"/>
      </w:pPr>
      <w:r>
        <w:t xml:space="preserve">7.1 Equipment List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Model</w:t>
            </w:r>
          </w:p>
        </w:tc>
        <w:tc>
          <w:tcPr/>
          <w:p>
            <w:pPr>
              <w:pStyle w:val="Compact"/>
              <w:jc w:val="left"/>
            </w:pPr>
            <w:r>
              <w:t xml:space="preserve">Quantity</w:t>
            </w:r>
          </w:p>
        </w:tc>
      </w:tr>
      <w:tr>
        <w:tc>
          <w:tcPr/>
          <w:p>
            <w:pPr>
              <w:pStyle w:val="Compact"/>
              <w:jc w:val="left"/>
            </w:pPr>
            <w:r>
              <w:t xml:space="preserve">Beta Attenuation Monitor</w:t>
            </w:r>
          </w:p>
        </w:tc>
        <w:tc>
          <w:tcPr/>
          <w:p>
            <w:pPr>
              <w:pStyle w:val="Compact"/>
              <w:jc w:val="left"/>
            </w:pPr>
            <w:r>
              <w:t xml:space="preserve">Thermo Scientific 5014i</w:t>
            </w:r>
          </w:p>
        </w:tc>
        <w:tc>
          <w:tcPr/>
          <w:p>
            <w:pPr>
              <w:pStyle w:val="Compact"/>
              <w:jc w:val="left"/>
            </w:pPr>
            <w:r>
              <w:t xml:space="preserve">3</w:t>
            </w:r>
          </w:p>
        </w:tc>
      </w:tr>
      <w:tr>
        <w:tc>
          <w:tcPr/>
          <w:p>
            <w:pPr>
              <w:pStyle w:val="Compact"/>
              <w:jc w:val="left"/>
            </w:pPr>
            <w:r>
              <w:t xml:space="preserve">Chemiluminescence Analyzer</w:t>
            </w:r>
          </w:p>
        </w:tc>
        <w:tc>
          <w:tcPr/>
          <w:p>
            <w:pPr>
              <w:pStyle w:val="Compact"/>
              <w:jc w:val="left"/>
            </w:pPr>
            <w:r>
              <w:t xml:space="preserve">Teledyne API 200E</w:t>
            </w:r>
          </w:p>
        </w:tc>
        <w:tc>
          <w:tcPr/>
          <w:p>
            <w:pPr>
              <w:pStyle w:val="Compact"/>
              <w:jc w:val="left"/>
            </w:pPr>
            <w:r>
              <w:t xml:space="preserve">3</w:t>
            </w:r>
          </w:p>
        </w:tc>
      </w:tr>
      <w:tr>
        <w:tc>
          <w:tcPr/>
          <w:p>
            <w:pPr>
              <w:pStyle w:val="Compact"/>
              <w:jc w:val="left"/>
            </w:pPr>
            <w:r>
              <w:t xml:space="preserve">Meteorological Station</w:t>
            </w:r>
          </w:p>
        </w:tc>
        <w:tc>
          <w:tcPr/>
          <w:p>
            <w:pPr>
              <w:pStyle w:val="Compact"/>
              <w:jc w:val="left"/>
            </w:pPr>
            <w:r>
              <w:t xml:space="preserve">Vaisala WXT536</w:t>
            </w:r>
          </w:p>
        </w:tc>
        <w:tc>
          <w:tcPr/>
          <w:p>
            <w:pPr>
              <w:pStyle w:val="Compact"/>
              <w:jc w:val="left"/>
            </w:pPr>
            <w:r>
              <w:t xml:space="preserve">3</w:t>
            </w:r>
          </w:p>
        </w:tc>
      </w:tr>
    </w:tbl>
    <w:bookmarkEnd w:id="29"/>
    <w:bookmarkStart w:id="30" w:name="regulatory-references"/>
    <w:p>
      <w:pPr>
        <w:pStyle w:val="Heading3"/>
      </w:pPr>
      <w:r>
        <w:t xml:space="preserve">7.2 Regulatory References</w:t>
      </w:r>
    </w:p>
    <w:p>
      <w:pPr>
        <w:numPr>
          <w:ilvl w:val="0"/>
          <w:numId w:val="1002"/>
        </w:numPr>
        <w:pStyle w:val="Compact"/>
      </w:pPr>
      <w:r>
        <w:t xml:space="preserve">GOST R 52269-2004: Air. General requirements for the organization of monitoring.</w:t>
      </w:r>
    </w:p>
    <w:p>
      <w:pPr>
        <w:numPr>
          <w:ilvl w:val="0"/>
          <w:numId w:val="1002"/>
        </w:numPr>
        <w:pStyle w:val="Compact"/>
      </w:pPr>
      <w:r>
        <w:t xml:space="preserve">SanPiN 1.2.3685-21: Sanitary and epidemiological requirements for the quality of the environment.</w:t>
      </w:r>
    </w:p>
    <w:p>
      <w:pPr>
        <w:numPr>
          <w:ilvl w:val="0"/>
          <w:numId w:val="1002"/>
        </w:numPr>
        <w:pStyle w:val="Compact"/>
      </w:pPr>
      <w:r>
        <w:t xml:space="preserve">Federal Law No. 7-FZ "On Environmental Protection".</w:t>
      </w:r>
    </w:p>
    <w:p>
      <w:pPr>
        <w:pStyle w:val="FirstParagraph"/>
      </w:pPr>
      <w:r>
        <w:rPr>
          <w:bCs/>
          <w:b/>
        </w:rPr>
        <w:t xml:space="preserve">Lead Environmental Engineer:</w:t>
      </w:r>
    </w:p>
    <w:p>
      <w:pPr>
        <w:pStyle w:val="BodyText"/>
      </w:pPr>
      <w:r>
        <w:t xml:space="preserve">Signature: ________________________</w:t>
      </w:r>
    </w:p>
    <w:p>
      <w:pPr>
        <w:pStyle w:val="BodyText"/>
      </w:pPr>
      <w:r>
        <w:t xml:space="preserve">Date: ________________________</w:t>
      </w:r>
    </w:p>
    <w:p>
      <w:pPr>
        <w:pStyle w:val="BodyText"/>
      </w:pPr>
      <w:r>
        <w:rPr>
          <w:bCs/>
          <w:b/>
        </w:rPr>
        <w:t xml:space="preserve">Supervisory Committee Chair:</w:t>
      </w:r>
    </w:p>
    <w:p>
      <w:pPr>
        <w:pStyle w:val="BodyText"/>
      </w:pPr>
      <w:r>
        <w:t xml:space="preserve">Signature: ________________________</w:t>
      </w:r>
    </w:p>
    <w:p>
      <w:pPr>
        <w:pStyle w:val="BodyText"/>
      </w:pPr>
      <w:r>
        <w:t xml:space="preserve">Date: ________________________</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Air Quality Assessment in Moscow</dc:title>
  <dc:creator/>
  <dc:language>en</dc:language>
  <cp:keywords/>
  <dcterms:created xsi:type="dcterms:W3CDTF">2026-10-10T02:39:59Z</dcterms:created>
  <dcterms:modified xsi:type="dcterms:W3CDTF">2026-10-10T02:39:59Z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