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Coastal</w:t>
      </w:r>
      <w:r>
        <w:t xml:space="preserve"> </w:t>
      </w:r>
      <w:r>
        <w:t xml:space="preserve">Water</w:t>
      </w:r>
      <w:r>
        <w:t xml:space="preserve"> </w:t>
      </w:r>
      <w:r>
        <w:t xml:space="preserve">Quality</w:t>
      </w:r>
      <w:r>
        <w:t xml:space="preserve"> </w:t>
      </w:r>
      <w:r>
        <w:t xml:space="preserve">Assessment</w:t>
      </w:r>
    </w:p>
    <w:bookmarkStart w:id="31" w:name="X61c852b40ecb265cae752c366f3b7ebcf43d1bc"/>
    <w:p>
      <w:pPr>
        <w:pStyle w:val="Heading1"/>
      </w:pPr>
      <w:r>
        <w:t xml:space="preserve">Experiment Protocol: Coastal Water Quality and Sediment Analysis</w:t>
      </w:r>
    </w:p>
    <w:p>
      <w:pPr>
        <w:pStyle w:val="FirstParagraph"/>
      </w:pPr>
      <w:r>
        <w:rPr>
          <w:bCs/>
          <w:b/>
        </w:rPr>
        <w:t xml:space="preserve">Project Title:</w:t>
      </w:r>
      <w:r>
        <w:t xml:space="preserve"> </w:t>
      </w:r>
      <w:r>
        <w:t xml:space="preserve">Assessment of Anthropogenic Impact on the Red Sea Coastal Waters</w:t>
      </w:r>
    </w:p>
    <w:p>
      <w:pPr>
        <w:pStyle w:val="BodyText"/>
      </w:pPr>
      <w:r>
        <w:rPr>
          <w:bCs/>
          <w:b/>
        </w:rPr>
        <w:t xml:space="preserve">Location:</w:t>
      </w:r>
      <w:r>
        <w:t xml:space="preserve"> </w:t>
      </w:r>
      <w:r>
        <w:t xml:space="preserve">Jeddah, Saudi Arabia (Red Sea Coastline)</w:t>
      </w:r>
    </w:p>
    <w:p>
      <w:pPr>
        <w:pStyle w:val="BodyText"/>
      </w:pPr>
      <w:r>
        <w:rPr>
          <w:bCs/>
          <w:b/>
        </w:rPr>
        <w:t xml:space="preserve">Role:</w:t>
      </w:r>
      <w:r>
        <w:t xml:space="preserve"> </w:t>
      </w:r>
      <w:r>
        <w:t xml:space="preserve">Environmental Engineer</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bookmarkStart w:id="20" w:name="introduction-and-objective"/>
    <w:p>
      <w:pPr>
        <w:pStyle w:val="Heading2"/>
      </w:pPr>
      <w:r>
        <w:t xml:space="preserve">1. Introduction and Objective</w:t>
      </w:r>
    </w:p>
    <w:p>
      <w:pPr>
        <w:pStyle w:val="FirstParagraph"/>
      </w:pPr>
      <w:r>
        <w:t xml:space="preserve">This Experiment Protocol outlines the standardized procedures for the collection, analysis, and reporting of environmental data regarding the coastal waters of Jeddah, Saudi Arabia. As an Environmental Engineer, the primary objective is to evaluate the physicochemical and biological parameters of the water column and sediment to ensure compliance with the Saudi Environmental Standards (SES) and the regulations set forth by the National Center for Environmental Compliance (NCEC).</w:t>
      </w:r>
    </w:p>
    <w:p>
      <w:pPr>
        <w:pStyle w:val="BodyText"/>
      </w:pPr>
      <w:r>
        <w:t xml:space="preserve">Jeddah, being a major port city and a hub for industrial and tourism activities, faces unique environmental challenges. This protocol is designed to detect potential pollutants, including heavy metals, hydrocarbons, and nutrient loading, which may affect the delicate coral reef ecosystems of the Red Sea.</w:t>
      </w:r>
    </w:p>
    <w:bookmarkEnd w:id="20"/>
    <w:bookmarkStart w:id="21" w:name="scope-and-regulatory-framework"/>
    <w:p>
      <w:pPr>
        <w:pStyle w:val="Heading2"/>
      </w:pPr>
      <w:r>
        <w:t xml:space="preserve">2. Scope and Regulatory Framework</w:t>
      </w:r>
    </w:p>
    <w:p>
      <w:pPr>
        <w:pStyle w:val="FirstParagraph"/>
      </w:pPr>
      <w:r>
        <w:t xml:space="preserve">This protocol applies to all field sampling and laboratory analysis conducted within the jurisdiction of the Jeddah municipality coastal zone. The Environmental Engineer must adhere to:</w:t>
      </w:r>
    </w:p>
    <w:p>
      <w:pPr>
        <w:numPr>
          <w:ilvl w:val="0"/>
          <w:numId w:val="1001"/>
        </w:numPr>
        <w:pStyle w:val="Compact"/>
      </w:pPr>
      <w:r>
        <w:t xml:space="preserve">Saudi Environmental Standards (SES) for Marine Water Quality.</w:t>
      </w:r>
    </w:p>
    <w:p>
      <w:pPr>
        <w:numPr>
          <w:ilvl w:val="0"/>
          <w:numId w:val="1001"/>
        </w:numPr>
        <w:pStyle w:val="Compact"/>
      </w:pPr>
      <w:r>
        <w:t xml:space="preserve">ISO 17025 standards for testing and calibration laboratories.</w:t>
      </w:r>
    </w:p>
    <w:p>
      <w:pPr>
        <w:numPr>
          <w:ilvl w:val="0"/>
          <w:numId w:val="1001"/>
        </w:numPr>
        <w:pStyle w:val="Compact"/>
      </w:pPr>
      <w:r>
        <w:t xml:space="preserve">Local safety regulations regarding marine operations in Saudi Arabia.</w:t>
      </w:r>
    </w:p>
    <w:bookmarkEnd w:id="21"/>
    <w:bookmarkStart w:id="22" w:name="X0456acdd3e0174d6058d4509a8695628f9f0d00"/>
    <w:p>
      <w:pPr>
        <w:pStyle w:val="Heading2"/>
      </w:pPr>
      <w:r>
        <w:t xml:space="preserve">3. Safety and Personal Protective Equipment (PPE)</w:t>
      </w:r>
    </w:p>
    <w:p>
      <w:pPr>
        <w:pStyle w:val="FirstParagraph"/>
      </w:pPr>
      <w:r>
        <w:t xml:space="preserve">Given the harsh environmental conditions in Jeddah, including high temperatures and intense solar radiation, safety is paramount. The Environmental Engineer and the field team must wear the following PPE:</w:t>
      </w:r>
    </w:p>
    <w:p>
      <w:pPr>
        <w:numPr>
          <w:ilvl w:val="0"/>
          <w:numId w:val="1002"/>
        </w:numPr>
        <w:pStyle w:val="Compact"/>
      </w:pPr>
      <w:r>
        <w:t xml:space="preserve">High-visibility safety vests.</w:t>
      </w:r>
    </w:p>
    <w:p>
      <w:pPr>
        <w:numPr>
          <w:ilvl w:val="0"/>
          <w:numId w:val="1002"/>
        </w:numPr>
        <w:pStyle w:val="Compact"/>
      </w:pPr>
      <w:r>
        <w:t xml:space="preserve">Marine-grade life jackets during boat operations.</w:t>
      </w:r>
    </w:p>
    <w:p>
      <w:pPr>
        <w:numPr>
          <w:ilvl w:val="0"/>
          <w:numId w:val="1002"/>
        </w:numPr>
        <w:pStyle w:val="Compact"/>
      </w:pPr>
      <w:r>
        <w:t xml:space="preserve">Chemical-resistant gloves (Nitrile) for sample handling.</w:t>
      </w:r>
    </w:p>
    <w:p>
      <w:pPr>
        <w:numPr>
          <w:ilvl w:val="0"/>
          <w:numId w:val="1002"/>
        </w:numPr>
        <w:pStyle w:val="Compact"/>
      </w:pPr>
      <w:r>
        <w:t xml:space="preserve">Safety goggles and UV-protective eyewear.</w:t>
      </w:r>
    </w:p>
    <w:p>
      <w:pPr>
        <w:numPr>
          <w:ilvl w:val="0"/>
          <w:numId w:val="1002"/>
        </w:numPr>
        <w:pStyle w:val="Compact"/>
      </w:pPr>
      <w:r>
        <w:t xml:space="preserve">Steel-toed boots.</w:t>
      </w:r>
    </w:p>
    <w:p>
      <w:pPr>
        <w:numPr>
          <w:ilvl w:val="0"/>
          <w:numId w:val="1002"/>
        </w:numPr>
        <w:pStyle w:val="Compact"/>
      </w:pPr>
      <w:r>
        <w:t xml:space="preserve">Hydration packs to prevent heat stress.</w:t>
      </w:r>
    </w:p>
    <w:p>
      <w:pPr>
        <w:pStyle w:val="FirstParagraph"/>
      </w:pPr>
      <w:r>
        <w:t xml:space="preserve">WARNING: Be aware of strong currents and marine life hazards specific to the Red Sea.</w:t>
      </w:r>
    </w:p>
    <w:bookmarkEnd w:id="22"/>
    <w:bookmarkStart w:id="23" w:name="equipment-and-materials"/>
    <w:p>
      <w:pPr>
        <w:pStyle w:val="Heading2"/>
      </w:pPr>
      <w:r>
        <w:t xml:space="preserve">4. Equipment and Materials</w:t>
      </w:r>
    </w:p>
    <w:p>
      <w:pPr>
        <w:pStyle w:val="FirstParagraph"/>
      </w:pPr>
      <w:r>
        <w:t xml:space="preserve">The following equipment must be calibrated prior to deployment: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Multi-parameter Water Quality Sonde</w:t>
            </w:r>
          </w:p>
        </w:tc>
        <w:tc>
          <w:tcPr/>
          <w:p>
            <w:pPr>
              <w:pStyle w:val="Compact"/>
              <w:jc w:val="left"/>
            </w:pPr>
            <w:r>
              <w:t xml:space="preserve">Measures pH, DO, Salinity, Turbidity, Temp</w:t>
            </w:r>
          </w:p>
        </w:tc>
        <w:tc>
          <w:tcPr/>
          <w:p>
            <w:pPr>
              <w:pStyle w:val="Compact"/>
              <w:jc w:val="left"/>
            </w:pPr>
            <w:r>
              <w:t xml:space="preserve">2</w:t>
            </w:r>
          </w:p>
        </w:tc>
      </w:tr>
      <w:tr>
        <w:tc>
          <w:tcPr/>
          <w:p>
            <w:pPr>
              <w:pStyle w:val="Compact"/>
              <w:jc w:val="left"/>
            </w:pPr>
            <w:r>
              <w:t xml:space="preserve">Niskin Bottles</w:t>
            </w:r>
          </w:p>
        </w:tc>
        <w:tc>
          <w:tcPr/>
          <w:p>
            <w:pPr>
              <w:pStyle w:val="Compact"/>
              <w:jc w:val="left"/>
            </w:pPr>
            <w:r>
              <w:t xml:space="preserve">10L capacity, stainless steel</w:t>
            </w:r>
          </w:p>
        </w:tc>
        <w:tc>
          <w:tcPr/>
          <w:p>
            <w:pPr>
              <w:pStyle w:val="Compact"/>
              <w:jc w:val="left"/>
            </w:pPr>
            <w:r>
              <w:t xml:space="preserve">4</w:t>
            </w:r>
          </w:p>
        </w:tc>
      </w:tr>
      <w:tr>
        <w:tc>
          <w:tcPr/>
          <w:p>
            <w:pPr>
              <w:pStyle w:val="Compact"/>
              <w:jc w:val="left"/>
            </w:pPr>
            <w:r>
              <w:t xml:space="preserve">Van Veen Grab Sampler</w:t>
            </w:r>
          </w:p>
        </w:tc>
        <w:tc>
          <w:tcPr/>
          <w:p>
            <w:pPr>
              <w:pStyle w:val="Compact"/>
              <w:jc w:val="left"/>
            </w:pPr>
            <w:r>
              <w:t xml:space="preserve">For sediment collection</w:t>
            </w:r>
          </w:p>
        </w:tc>
        <w:tc>
          <w:tcPr/>
          <w:p>
            <w:pPr>
              <w:pStyle w:val="Compact"/>
              <w:jc w:val="left"/>
            </w:pPr>
            <w:r>
              <w:t xml:space="preserve">1</w:t>
            </w:r>
          </w:p>
        </w:tc>
      </w:tr>
      <w:tr>
        <w:tc>
          <w:tcPr/>
          <w:p>
            <w:pPr>
              <w:pStyle w:val="Compact"/>
              <w:jc w:val="left"/>
            </w:pPr>
            <w:r>
              <w:t xml:space="preserve">Glass Sample Bottles</w:t>
            </w:r>
          </w:p>
        </w:tc>
        <w:tc>
          <w:tcPr/>
          <w:p>
            <w:pPr>
              <w:pStyle w:val="Compact"/>
              <w:jc w:val="left"/>
            </w:pPr>
            <w:r>
              <w:t xml:space="preserve">Amber, 1L, pre-cleaned</w:t>
            </w:r>
          </w:p>
        </w:tc>
        <w:tc>
          <w:tcPr/>
          <w:p>
            <w:pPr>
              <w:pStyle w:val="Compact"/>
              <w:jc w:val="left"/>
            </w:pPr>
            <w:r>
              <w:t xml:space="preserve">20</w:t>
            </w:r>
          </w:p>
        </w:tc>
      </w:tr>
      <w:tr>
        <w:tc>
          <w:tcPr/>
          <w:p>
            <w:pPr>
              <w:pStyle w:val="Compact"/>
              <w:jc w:val="left"/>
            </w:pPr>
            <w:r>
              <w:t xml:space="preserve">GPS Unit</w:t>
            </w:r>
          </w:p>
        </w:tc>
        <w:tc>
          <w:tcPr/>
          <w:p>
            <w:pPr>
              <w:pStyle w:val="Compact"/>
              <w:jc w:val="left"/>
            </w:pPr>
            <w:r>
              <w:t xml:space="preserve">High precision</w:t>
            </w:r>
          </w:p>
        </w:tc>
        <w:tc>
          <w:tcPr/>
          <w:p>
            <w:pPr>
              <w:pStyle w:val="Compact"/>
              <w:jc w:val="left"/>
            </w:pPr>
            <w:r>
              <w:t xml:space="preserve">1</w:t>
            </w:r>
          </w:p>
        </w:tc>
      </w:tr>
      <w:tr>
        <w:tc>
          <w:tcPr/>
          <w:p>
            <w:pPr>
              <w:pStyle w:val="Compact"/>
              <w:jc w:val="left"/>
            </w:pPr>
            <w:r>
              <w:t xml:space="preserve">Coolers with Ice Packs</w:t>
            </w:r>
          </w:p>
        </w:tc>
        <w:tc>
          <w:tcPr/>
          <w:p>
            <w:pPr>
              <w:pStyle w:val="Compact"/>
              <w:jc w:val="left"/>
            </w:pPr>
            <w:r>
              <w:t xml:space="preserve">For sample preservation</w:t>
            </w:r>
          </w:p>
        </w:tc>
        <w:tc>
          <w:tcPr/>
          <w:p>
            <w:pPr>
              <w:pStyle w:val="Compact"/>
              <w:jc w:val="left"/>
            </w:pPr>
            <w:r>
              <w:t xml:space="preserve">3</w:t>
            </w:r>
          </w:p>
        </w:tc>
      </w:tr>
    </w:tbl>
    <w:bookmarkEnd w:id="23"/>
    <w:bookmarkStart w:id="27" w:name="methodology"/>
    <w:p>
      <w:pPr>
        <w:pStyle w:val="Heading2"/>
      </w:pPr>
      <w:r>
        <w:t xml:space="preserve">5. Methodology</w:t>
      </w:r>
    </w:p>
    <w:bookmarkStart w:id="24" w:name="site-selection"/>
    <w:p>
      <w:pPr>
        <w:pStyle w:val="Heading3"/>
      </w:pPr>
      <w:r>
        <w:t xml:space="preserve">5.1 Site Selection</w:t>
      </w:r>
    </w:p>
    <w:p>
      <w:pPr>
        <w:pStyle w:val="FirstParagraph"/>
      </w:pPr>
      <w:r>
        <w:t xml:space="preserve">The Environmental Engineer shall select sampling stations based on a grid system covering key areas in Jeddah, including:</w:t>
      </w:r>
    </w:p>
    <w:p>
      <w:pPr>
        <w:numPr>
          <w:ilvl w:val="0"/>
          <w:numId w:val="1003"/>
        </w:numPr>
        <w:pStyle w:val="Compact"/>
      </w:pPr>
      <w:r>
        <w:t xml:space="preserve">Upstream of the Jeddah Islamic Port.</w:t>
      </w:r>
    </w:p>
    <w:p>
      <w:pPr>
        <w:numPr>
          <w:ilvl w:val="0"/>
          <w:numId w:val="1003"/>
        </w:numPr>
        <w:pStyle w:val="Compact"/>
      </w:pPr>
      <w:r>
        <w:t xml:space="preserve">Downstream of industrial discharge points.</w:t>
      </w:r>
    </w:p>
    <w:p>
      <w:pPr>
        <w:numPr>
          <w:ilvl w:val="0"/>
          <w:numId w:val="1003"/>
        </w:numPr>
        <w:pStyle w:val="Compact"/>
      </w:pPr>
      <w:r>
        <w:t xml:space="preserve">Control sites near protected coral reefs.</w:t>
      </w:r>
    </w:p>
    <w:p>
      <w:pPr>
        <w:pStyle w:val="FirstParagraph"/>
      </w:pPr>
      <w:r>
        <w:t xml:space="preserve">Coordinates must be recorded using GPS and logged in the field notebook.</w:t>
      </w:r>
    </w:p>
    <w:bookmarkEnd w:id="24"/>
    <w:bookmarkStart w:id="25" w:name="water-sampling-procedure"/>
    <w:p>
      <w:pPr>
        <w:pStyle w:val="Heading3"/>
      </w:pPr>
      <w:r>
        <w:t xml:space="preserve">5.2 Water Sampling Procedure</w:t>
      </w:r>
    </w:p>
    <w:p>
      <w:pPr>
        <w:numPr>
          <w:ilvl w:val="0"/>
          <w:numId w:val="1004"/>
        </w:numPr>
        <w:pStyle w:val="Compact"/>
      </w:pPr>
      <w:r>
        <w:t xml:space="preserve">Calibrate the multi-parameter sonde using standard solutions.</w:t>
      </w:r>
    </w:p>
    <w:p>
      <w:pPr>
        <w:numPr>
          <w:ilvl w:val="0"/>
          <w:numId w:val="1004"/>
        </w:numPr>
        <w:pStyle w:val="Compact"/>
      </w:pPr>
      <w:r>
        <w:t xml:space="preserve">Deploy the sonde at a depth of 1 meter and record in-situ data (Temperature, pH, Dissolved Oxygen, Salinity).</w:t>
      </w:r>
    </w:p>
    <w:p>
      <w:pPr>
        <w:numPr>
          <w:ilvl w:val="0"/>
          <w:numId w:val="1004"/>
        </w:numPr>
        <w:pStyle w:val="Compact"/>
      </w:pPr>
      <w:r>
        <w:t xml:space="preserve">Use Niskin bottles to collect water samples at 1-meter intervals up to 10 meters depth.</w:t>
      </w:r>
    </w:p>
    <w:p>
      <w:pPr>
        <w:numPr>
          <w:ilvl w:val="0"/>
          <w:numId w:val="1004"/>
        </w:numPr>
        <w:pStyle w:val="Compact"/>
      </w:pPr>
      <w:r>
        <w:t xml:space="preserve">Rinse sample bottles three times with the site water before final collection.</w:t>
      </w:r>
    </w:p>
    <w:p>
      <w:pPr>
        <w:numPr>
          <w:ilvl w:val="0"/>
          <w:numId w:val="1004"/>
        </w:numPr>
        <w:pStyle w:val="Compact"/>
      </w:pPr>
      <w:r>
        <w:t xml:space="preserve">Label each bottle immediately with Station ID, Date, Time, and Depth.</w:t>
      </w:r>
    </w:p>
    <w:p>
      <w:pPr>
        <w:numPr>
          <w:ilvl w:val="0"/>
          <w:numId w:val="1004"/>
        </w:numPr>
        <w:pStyle w:val="Compact"/>
      </w:pPr>
      <w:r>
        <w:t xml:space="preserve">Place samples in coolers maintained at 4°C.</w:t>
      </w:r>
    </w:p>
    <w:bookmarkEnd w:id="25"/>
    <w:bookmarkStart w:id="26" w:name="sediment-sampling-procedure"/>
    <w:p>
      <w:pPr>
        <w:pStyle w:val="Heading3"/>
      </w:pPr>
      <w:r>
        <w:t xml:space="preserve">5.3 Sediment Sampling Procedure</w:t>
      </w:r>
    </w:p>
    <w:p>
      <w:pPr>
        <w:numPr>
          <w:ilvl w:val="0"/>
          <w:numId w:val="1005"/>
        </w:numPr>
        <w:pStyle w:val="Compact"/>
      </w:pPr>
      <w:r>
        <w:t xml:space="preserve">Deploy the Van Veen grab sampler to the seabed.</w:t>
      </w:r>
    </w:p>
    <w:p>
      <w:pPr>
        <w:numPr>
          <w:ilvl w:val="0"/>
          <w:numId w:val="1005"/>
        </w:numPr>
        <w:pStyle w:val="Compact"/>
      </w:pPr>
      <w:r>
        <w:t xml:space="preserve">Retrieve the sampler and inspect for closure integrity.</w:t>
      </w:r>
    </w:p>
    <w:p>
      <w:pPr>
        <w:numPr>
          <w:ilvl w:val="0"/>
          <w:numId w:val="1005"/>
        </w:numPr>
        <w:pStyle w:val="Compact"/>
      </w:pPr>
      <w:r>
        <w:t xml:space="preserve">Collect a composite sample from the top 5 cm of the sediment using a clean spatula.</w:t>
      </w:r>
    </w:p>
    <w:p>
      <w:pPr>
        <w:numPr>
          <w:ilvl w:val="0"/>
          <w:numId w:val="1005"/>
        </w:numPr>
        <w:pStyle w:val="Compact"/>
      </w:pPr>
      <w:r>
        <w:t xml:space="preserve">Transfer sediment to pre-labeled glass jars.</w:t>
      </w:r>
    </w:p>
    <w:p>
      <w:pPr>
        <w:numPr>
          <w:ilvl w:val="0"/>
          <w:numId w:val="1005"/>
        </w:numPr>
        <w:pStyle w:val="Compact"/>
      </w:pPr>
      <w:r>
        <w:t xml:space="preserve">Ensure samples are kept in the dark to prevent photochemical reactions.</w:t>
      </w:r>
    </w:p>
    <w:bookmarkEnd w:id="26"/>
    <w:bookmarkEnd w:id="27"/>
    <w:bookmarkStart w:id="28" w:name="laboratory-analysis"/>
    <w:p>
      <w:pPr>
        <w:pStyle w:val="Heading2"/>
      </w:pPr>
      <w:r>
        <w:t xml:space="preserve">6. Laboratory Analysis</w:t>
      </w:r>
    </w:p>
    <w:p>
      <w:pPr>
        <w:pStyle w:val="FirstParagraph"/>
      </w:pPr>
      <w:r>
        <w:t xml:space="preserve">Upon return to the accredited laboratory in Jeddah, the Environmental Engineer must oversee the following analyses:</w:t>
      </w:r>
    </w:p>
    <w:p>
      <w:pPr>
        <w:numPr>
          <w:ilvl w:val="0"/>
          <w:numId w:val="1006"/>
        </w:numPr>
        <w:pStyle w:val="Compact"/>
      </w:pPr>
      <w:r>
        <w:rPr>
          <w:bCs/>
          <w:b/>
        </w:rPr>
        <w:t xml:space="preserve">Heavy Metals:</w:t>
      </w:r>
      <w:r>
        <w:t xml:space="preserve"> </w:t>
      </w:r>
      <w:r>
        <w:t xml:space="preserve">Analysis of Lead (Pb), Cadmium (Cd), Mercury (Hg), and Arsenic (As) using Atomic Absorption Spectroscopy (AAS).</w:t>
      </w:r>
    </w:p>
    <w:p>
      <w:pPr>
        <w:numPr>
          <w:ilvl w:val="0"/>
          <w:numId w:val="1006"/>
        </w:numPr>
        <w:pStyle w:val="Compact"/>
      </w:pPr>
      <w:r>
        <w:rPr>
          <w:bCs/>
          <w:b/>
        </w:rPr>
        <w:t xml:space="preserve">Hydrocarbons:</w:t>
      </w:r>
      <w:r>
        <w:t xml:space="preserve"> </w:t>
      </w:r>
      <w:r>
        <w:t xml:space="preserve">Total Petroleum Hydrocarbons (TPH) analysis using Gas Chromatography.</w:t>
      </w:r>
    </w:p>
    <w:p>
      <w:pPr>
        <w:numPr>
          <w:ilvl w:val="0"/>
          <w:numId w:val="1006"/>
        </w:numPr>
        <w:pStyle w:val="Compact"/>
      </w:pPr>
      <w:r>
        <w:rPr>
          <w:bCs/>
          <w:b/>
        </w:rPr>
        <w:t xml:space="preserve">Nutrients:</w:t>
      </w:r>
      <w:r>
        <w:t xml:space="preserve"> </w:t>
      </w:r>
      <w:r>
        <w:t xml:space="preserve">Nitrate, Nitrite, and Phosphate levels to assess eutrophication risk.</w:t>
      </w:r>
    </w:p>
    <w:p>
      <w:pPr>
        <w:numPr>
          <w:ilvl w:val="0"/>
          <w:numId w:val="1006"/>
        </w:numPr>
        <w:pStyle w:val="Compact"/>
      </w:pPr>
      <w:r>
        <w:rPr>
          <w:bCs/>
          <w:b/>
        </w:rPr>
        <w:t xml:space="preserve">Microbiology:</w:t>
      </w:r>
      <w:r>
        <w:t xml:space="preserve"> </w:t>
      </w:r>
      <w:r>
        <w:t xml:space="preserve">Total Coliform and E. coli counts.</w:t>
      </w:r>
    </w:p>
    <w:bookmarkEnd w:id="28"/>
    <w:bookmarkStart w:id="29" w:name="data-management-and-reporting"/>
    <w:p>
      <w:pPr>
        <w:pStyle w:val="Heading2"/>
      </w:pPr>
      <w:r>
        <w:t xml:space="preserve">7. Data Management and Reporting</w:t>
      </w:r>
    </w:p>
    <w:p>
      <w:pPr>
        <w:pStyle w:val="FirstParagraph"/>
      </w:pPr>
      <w:r>
        <w:t xml:space="preserve">All data must be recorded in a digital database compliant with NCEC requirements. The Environmental Engineer is responsible for:</w:t>
      </w:r>
    </w:p>
    <w:p>
      <w:pPr>
        <w:numPr>
          <w:ilvl w:val="0"/>
          <w:numId w:val="1007"/>
        </w:numPr>
        <w:pStyle w:val="Compact"/>
      </w:pPr>
      <w:r>
        <w:t xml:space="preserve">Verifying data accuracy and completeness.</w:t>
      </w:r>
    </w:p>
    <w:p>
      <w:pPr>
        <w:numPr>
          <w:ilvl w:val="0"/>
          <w:numId w:val="1007"/>
        </w:numPr>
        <w:pStyle w:val="Compact"/>
      </w:pPr>
      <w:r>
        <w:t xml:space="preserve">Comparing results against Saudi Environmental Standards.</w:t>
      </w:r>
    </w:p>
    <w:p>
      <w:pPr>
        <w:numPr>
          <w:ilvl w:val="0"/>
          <w:numId w:val="1007"/>
        </w:numPr>
        <w:pStyle w:val="Compact"/>
      </w:pPr>
      <w:r>
        <w:t xml:space="preserve">Generating a comprehensive report highlighting any non-compliance issues.</w:t>
      </w:r>
    </w:p>
    <w:p>
      <w:pPr>
        <w:numPr>
          <w:ilvl w:val="0"/>
          <w:numId w:val="1007"/>
        </w:numPr>
        <w:pStyle w:val="Compact"/>
      </w:pPr>
      <w:r>
        <w:t xml:space="preserve">Recommending remediation strategies if pollutant levels exceed permissible limits.</w:t>
      </w:r>
    </w:p>
    <w:bookmarkEnd w:id="29"/>
    <w:bookmarkStart w:id="30" w:name="conclusion"/>
    <w:p>
      <w:pPr>
        <w:pStyle w:val="Heading2"/>
      </w:pPr>
      <w:r>
        <w:t xml:space="preserve">8. Conclusion</w:t>
      </w:r>
    </w:p>
    <w:p>
      <w:pPr>
        <w:pStyle w:val="FirstParagraph"/>
      </w:pPr>
      <w:r>
        <w:t xml:space="preserve">This Experiment Protocol ensures a rigorous and scientifically valid approach to monitoring the environmental health of Jeddah's coastal waters. By adhering to these guidelines, the Environmental Engineer contributes to the sustainable development and preservation of Saudi Arabia's marine environment.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Coastal Water Quality Assessment</dc:title>
  <dc:creator/>
  <dc:language>en</dc:language>
  <cp:keywords/>
  <dcterms:created xsi:type="dcterms:W3CDTF">2026-10-10T03:34:44Z</dcterms:created>
  <dcterms:modified xsi:type="dcterms:W3CDTF">2026-10-10T03:34:44Z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