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89505ea9c44739e9642bac23e4292e5298bdf95"/>
    <w:p>
      <w:pPr>
        <w:pStyle w:val="Heading1"/>
      </w:pPr>
      <w:r>
        <w:t xml:space="preserve">Experiment Protocol: Urban Surface Water Quality Assessment</w:t>
      </w:r>
    </w:p>
    <w:p>
      <w:pPr>
        <w:pStyle w:val="FirstParagraph"/>
      </w:pPr>
      <w:r>
        <w:rPr>
          <w:bCs/>
          <w:b/>
        </w:rPr>
        <w:t xml:space="preserve">Location:</w:t>
      </w:r>
      <w:r>
        <w:t xml:space="preserve"> </w:t>
      </w:r>
      <w:r>
        <w:t xml:space="preserve">Cape Town, Western Cape, South Africa</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CT-EW-2023-004</w:t>
      </w:r>
    </w:p>
    <w:bookmarkEnd w:id="20"/>
    <w:bookmarkStart w:id="21" w:name="introduction-and-context"/>
    <w:p>
      <w:pPr>
        <w:pStyle w:val="Heading2"/>
      </w:pPr>
      <w:r>
        <w:t xml:space="preserve">1. Introduction and Context</w:t>
      </w:r>
    </w:p>
    <w:p>
      <w:pPr>
        <w:pStyle w:val="FirstParagraph"/>
      </w:pPr>
      <w:r>
        <w:t xml:space="preserve">This Experiment Protocol outlines the standardized procedures for assessing surface water quality in urban catchments within Cape Town, South Africa. As an Environmental Engineer operating in this region, it is critical to address the unique hydrological challenges posed by the Mediterranean climate, specifically the alternation between severe drought conditions and intense, episodic rainfall events. These weather patterns significantly impact the runoff quality entering local waterways, such as the Liesbeek River and the Eerste River.</w:t>
      </w:r>
    </w:p>
    <w:p>
      <w:pPr>
        <w:pStyle w:val="BodyText"/>
      </w:pPr>
      <w:r>
        <w:t xml:space="preserve">The primary objective of this experiment is to quantify the concentration of Total Suspended Solids (TSS), fecal coliforms, and heavy metals (specifically lead and zinc) in stormwater runoff following a precipitation event exceeding 10mm. This data is essential for evaluating the efficacy of current urban drainage infrastructure and ensuring compliance with the National Water Act of South Africa (Act 36 of 1998).</w:t>
      </w:r>
    </w:p>
    <w:bookmarkEnd w:id="21"/>
    <w:bookmarkStart w:id="22" w:name="scope-and-objectives"/>
    <w:p>
      <w:pPr>
        <w:pStyle w:val="Heading2"/>
      </w:pPr>
      <w:r>
        <w:t xml:space="preserve">2. Scope and Objectives</w:t>
      </w:r>
    </w:p>
    <w:p>
      <w:pPr>
        <w:pStyle w:val="FirstParagraph"/>
      </w:pPr>
      <w:r>
        <w:t xml:space="preserve">The scope of this protocol is limited to surface water sampling at designated outfalls within the City of Cape Town metropolitan area. The Environmental Engineer is responsible for the end-to-end execution of this protocol, from site selection to data analysis.</w:t>
      </w:r>
    </w:p>
    <w:p>
      <w:pPr>
        <w:numPr>
          <w:ilvl w:val="0"/>
          <w:numId w:val="1001"/>
        </w:numPr>
        <w:pStyle w:val="Compact"/>
      </w:pPr>
      <w:r>
        <w:rPr>
          <w:bCs/>
          <w:b/>
        </w:rPr>
        <w:t xml:space="preserve">Primary Objective:</w:t>
      </w:r>
      <w:r>
        <w:t xml:space="preserve"> </w:t>
      </w:r>
      <w:r>
        <w:t xml:space="preserve">To determine the pollutant load discharged into local water bodies during the first flush of rainfall.</w:t>
      </w:r>
    </w:p>
    <w:p>
      <w:pPr>
        <w:numPr>
          <w:ilvl w:val="0"/>
          <w:numId w:val="1001"/>
        </w:numPr>
        <w:pStyle w:val="Compact"/>
      </w:pPr>
      <w:r>
        <w:rPr>
          <w:bCs/>
          <w:b/>
        </w:rPr>
        <w:t xml:space="preserve">Secondary Objective:</w:t>
      </w:r>
      <w:r>
        <w:t xml:space="preserve"> </w:t>
      </w:r>
      <w:r>
        <w:t xml:space="preserve">To correlate runoff quality with antecedent dry weather periods (ADWP) typical of the Cape Town summer season.</w:t>
      </w:r>
    </w:p>
    <w:p>
      <w:pPr>
        <w:numPr>
          <w:ilvl w:val="0"/>
          <w:numId w:val="1001"/>
        </w:numPr>
        <w:pStyle w:val="Compact"/>
      </w:pPr>
      <w:r>
        <w:rPr>
          <w:bCs/>
          <w:b/>
        </w:rPr>
        <w:t xml:space="preserve">Regulatory Objective:</w:t>
      </w:r>
      <w:r>
        <w:t xml:space="preserve"> </w:t>
      </w:r>
      <w:r>
        <w:t xml:space="preserve">To ensure sampling methods align with SANS (South African National Standards) guidelines for water quality testing.</w:t>
      </w:r>
    </w:p>
    <w:bookmarkEnd w:id="22"/>
    <w:bookmarkStart w:id="23" w:name="safety-and-risk-assessment"/>
    <w:p>
      <w:pPr>
        <w:pStyle w:val="Heading2"/>
      </w:pPr>
      <w:r>
        <w:t xml:space="preserve">3. Safety and Risk Assessment</w:t>
      </w:r>
    </w:p>
    <w:p>
      <w:pPr>
        <w:pStyle w:val="FirstParagraph"/>
      </w:pPr>
      <w:r>
        <w:t xml:space="preserve">Working in urban environments in South Africa requires strict adherence to safety protocols. The Environmental Engineer must conduct a Job Safety Analysis (JSA) prior to fieldwork.</w:t>
      </w:r>
    </w:p>
    <w:p>
      <w:pPr>
        <w:pStyle w:val="BodyText"/>
      </w:pPr>
      <w:r>
        <w:rPr>
          <w:bCs/>
          <w:b/>
        </w:rPr>
        <w:t xml:space="preserve">CRITICAL SAFETY NOTE:</w:t>
      </w:r>
      <w:r>
        <w:t xml:space="preserve"> </w:t>
      </w:r>
      <w:r>
        <w:t xml:space="preserve">Stormwater drains in Cape Town can contain hazardous pathogens and chemical runoff. Personal Protective Equipment (PPE) is mandatory.</w:t>
      </w:r>
    </w:p>
    <w:p>
      <w:pPr>
        <w:pStyle w:val="BodyText"/>
      </w:pPr>
      <w:r>
        <w:t xml:space="preserve">Required PPE includes:</w:t>
      </w:r>
    </w:p>
    <w:p>
      <w:pPr>
        <w:numPr>
          <w:ilvl w:val="0"/>
          <w:numId w:val="1002"/>
        </w:numPr>
        <w:pStyle w:val="Compact"/>
      </w:pPr>
      <w:r>
        <w:t xml:space="preserve">High-visibility safety vest.</w:t>
      </w:r>
    </w:p>
    <w:p>
      <w:pPr>
        <w:numPr>
          <w:ilvl w:val="0"/>
          <w:numId w:val="1002"/>
        </w:numPr>
        <w:pStyle w:val="Compact"/>
      </w:pPr>
      <w:r>
        <w:t xml:space="preserve">Waterproof waders with steel-toe boots.</w:t>
      </w:r>
    </w:p>
    <w:p>
      <w:pPr>
        <w:numPr>
          <w:ilvl w:val="0"/>
          <w:numId w:val="1002"/>
        </w:numPr>
        <w:pStyle w:val="Compact"/>
      </w:pPr>
      <w:r>
        <w:t xml:space="preserve">Nitrile gloves (double-gloving recommended).</w:t>
      </w:r>
    </w:p>
    <w:p>
      <w:pPr>
        <w:numPr>
          <w:ilvl w:val="0"/>
          <w:numId w:val="1002"/>
        </w:numPr>
        <w:pStyle w:val="Compact"/>
      </w:pPr>
      <w:r>
        <w:t xml:space="preserve">Face shield or safety goggles.</w:t>
      </w:r>
    </w:p>
    <w:p>
      <w:pPr>
        <w:numPr>
          <w:ilvl w:val="0"/>
          <w:numId w:val="1002"/>
        </w:numPr>
        <w:pStyle w:val="Compact"/>
      </w:pPr>
      <w:r>
        <w:t xml:space="preserve">Hard hat.</w:t>
      </w:r>
    </w:p>
    <w:p>
      <w:pPr>
        <w:pStyle w:val="FirstParagraph"/>
      </w:pPr>
      <w:r>
        <w:t xml:space="preserve">Additionally, due to the urban setting, the engineer must be aware of traffic hazards and potential security risks. Fieldwork should ideally be conducted in pairs, and all movements must be reported to the base station.</w:t>
      </w:r>
    </w:p>
    <w:bookmarkEnd w:id="23"/>
    <w:bookmarkStart w:id="24" w:name="equipment-and-materials"/>
    <w:p>
      <w:pPr>
        <w:pStyle w:val="Heading2"/>
      </w:pPr>
      <w:r>
        <w:t xml:space="preserve">4. Equipment and Materials</w:t>
      </w:r>
    </w:p>
    <w:p>
      <w:pPr>
        <w:pStyle w:val="FirstParagraph"/>
      </w:pPr>
      <w:r>
        <w:t xml:space="preserve">The following equipment must be calibrated and sanitized before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 (Glass)</w:t>
            </w:r>
          </w:p>
        </w:tc>
        <w:tc>
          <w:tcPr/>
          <w:p>
            <w:pPr>
              <w:pStyle w:val="Compact"/>
              <w:jc w:val="left"/>
            </w:pPr>
            <w:r>
              <w:t xml:space="preserve">1L, acid-washed, for heavy metals</w:t>
            </w:r>
          </w:p>
        </w:tc>
        <w:tc>
          <w:tcPr/>
          <w:p>
            <w:pPr>
              <w:pStyle w:val="Compact"/>
              <w:jc w:val="left"/>
            </w:pPr>
            <w:r>
              <w:t xml:space="preserve">10</w:t>
            </w:r>
          </w:p>
        </w:tc>
      </w:tr>
      <w:tr>
        <w:tc>
          <w:tcPr/>
          <w:p>
            <w:pPr>
              <w:pStyle w:val="Compact"/>
              <w:jc w:val="left"/>
            </w:pPr>
            <w:r>
              <w:t xml:space="preserve">Sampling Bottles (Plastic)</w:t>
            </w:r>
          </w:p>
        </w:tc>
        <w:tc>
          <w:tcPr/>
          <w:p>
            <w:pPr>
              <w:pStyle w:val="Compact"/>
              <w:jc w:val="left"/>
            </w:pPr>
            <w:r>
              <w:t xml:space="preserve">500ml, sterile, for microbiological analysis</w:t>
            </w:r>
          </w:p>
        </w:tc>
        <w:tc>
          <w:tcPr/>
          <w:p>
            <w:pPr>
              <w:pStyle w:val="Compact"/>
              <w:jc w:val="left"/>
            </w:pPr>
            <w:r>
              <w:t xml:space="preserve">10</w:t>
            </w:r>
          </w:p>
        </w:tc>
      </w:tr>
      <w:tr>
        <w:tc>
          <w:tcPr/>
          <w:p>
            <w:pPr>
              <w:pStyle w:val="Compact"/>
              <w:jc w:val="left"/>
            </w:pPr>
            <w:r>
              <w:t xml:space="preserve">Portable Multiparameter Sonde</w:t>
            </w:r>
          </w:p>
        </w:tc>
        <w:tc>
          <w:tcPr/>
          <w:p>
            <w:pPr>
              <w:pStyle w:val="Compact"/>
              <w:jc w:val="left"/>
            </w:pPr>
            <w:r>
              <w:t xml:space="preserve">Measures pH, DO, Conductivity, Turbidity</w:t>
            </w:r>
          </w:p>
        </w:tc>
        <w:tc>
          <w:tcPr/>
          <w:p>
            <w:pPr>
              <w:pStyle w:val="Compact"/>
              <w:jc w:val="left"/>
            </w:pPr>
            <w:r>
              <w:t xml:space="preserve">1</w:t>
            </w:r>
          </w:p>
        </w:tc>
      </w:tr>
      <w:tr>
        <w:tc>
          <w:tcPr/>
          <w:p>
            <w:pPr>
              <w:pStyle w:val="Compact"/>
              <w:jc w:val="left"/>
            </w:pPr>
            <w:r>
              <w:t xml:space="preserve">GPS Unit</w:t>
            </w:r>
          </w:p>
        </w:tc>
        <w:tc>
          <w:tcPr/>
          <w:p>
            <w:pPr>
              <w:pStyle w:val="Compact"/>
              <w:jc w:val="left"/>
            </w:pPr>
            <w:r>
              <w:t xml:space="preserve">High-accuracy for site logging</w:t>
            </w:r>
          </w:p>
        </w:tc>
        <w:tc>
          <w:tcPr/>
          <w:p>
            <w:pPr>
              <w:pStyle w:val="Compact"/>
              <w:jc w:val="left"/>
            </w:pPr>
            <w:r>
              <w:t xml:space="preserve">1</w:t>
            </w:r>
          </w:p>
        </w:tc>
      </w:tr>
      <w:tr>
        <w:tc>
          <w:tcPr/>
          <w:p>
            <w:pPr>
              <w:pStyle w:val="Compact"/>
              <w:jc w:val="left"/>
            </w:pPr>
            <w:r>
              <w:t xml:space="preserve">Cooler Box</w:t>
            </w:r>
          </w:p>
        </w:tc>
        <w:tc>
          <w:tcPr/>
          <w:p>
            <w:pPr>
              <w:pStyle w:val="Compact"/>
              <w:jc w:val="left"/>
            </w:pPr>
            <w:r>
              <w:t xml:space="preserve">With ice packs (maintain 4°C)</w:t>
            </w:r>
          </w:p>
        </w:tc>
        <w:tc>
          <w:tcPr/>
          <w:p>
            <w:pPr>
              <w:pStyle w:val="Compact"/>
              <w:jc w:val="left"/>
            </w:pPr>
            <w:r>
              <w:t xml:space="preserve">1</w:t>
            </w:r>
          </w:p>
        </w:tc>
      </w:tr>
      <w:tr>
        <w:tc>
          <w:tcPr/>
          <w:p>
            <w:pPr>
              <w:pStyle w:val="Compact"/>
              <w:jc w:val="left"/>
            </w:pPr>
            <w:r>
              <w:t xml:space="preserve">Sampling Pole</w:t>
            </w:r>
          </w:p>
        </w:tc>
        <w:tc>
          <w:tcPr/>
          <w:p>
            <w:pPr>
              <w:pStyle w:val="Compact"/>
              <w:jc w:val="left"/>
            </w:pPr>
            <w:r>
              <w:t xml:space="preserve">Extendable, with grab sampler attachment</w:t>
            </w:r>
          </w:p>
        </w:tc>
        <w:tc>
          <w:tcPr/>
          <w:p>
            <w:pPr>
              <w:pStyle w:val="Compact"/>
              <w:jc w:val="left"/>
            </w:pPr>
            <w:r>
              <w:t xml:space="preserve">1</w:t>
            </w:r>
          </w:p>
        </w:tc>
      </w:tr>
    </w:tbl>
    <w:bookmarkEnd w:id="24"/>
    <w:bookmarkStart w:id="29" w:name="methodology"/>
    <w:p>
      <w:pPr>
        <w:pStyle w:val="Heading2"/>
      </w:pPr>
      <w:r>
        <w:t xml:space="preserve">5. Methodology</w:t>
      </w:r>
    </w:p>
    <w:bookmarkStart w:id="25" w:name="site-selection"/>
    <w:p>
      <w:pPr>
        <w:pStyle w:val="Heading3"/>
      </w:pPr>
      <w:r>
        <w:t xml:space="preserve">5.1 Site Selection</w:t>
      </w:r>
    </w:p>
    <w:p>
      <w:pPr>
        <w:pStyle w:val="FirstParagraph"/>
      </w:pPr>
      <w:r>
        <w:t xml:space="preserve">The Environmental Engineer must select sampling points at major stormwater outfalls discharging into natural water bodies. Sites should be chosen based on upstream land use (residential, commercial, or industrial) to assess varying pollution sources. Permission from the City of Cape Town Water and Sanitation Department must be obtained prior to access.</w:t>
      </w:r>
    </w:p>
    <w:bookmarkEnd w:id="25"/>
    <w:bookmarkStart w:id="26" w:name="pre-sampling-preparation"/>
    <w:p>
      <w:pPr>
        <w:pStyle w:val="Heading3"/>
      </w:pPr>
      <w:r>
        <w:t xml:space="preserve">5.2 Pre-Sampling Preparation</w:t>
      </w:r>
    </w:p>
    <w:p>
      <w:pPr>
        <w:pStyle w:val="FirstParagraph"/>
      </w:pPr>
      <w:r>
        <w:t xml:space="preserve">All glassware must be rinsed with deionized water and then with the sample water three times to prevent contamination. The portable sonde must be calibrated using standard buffer solutions for pH and conductivity.</w:t>
      </w:r>
    </w:p>
    <w:bookmarkEnd w:id="26"/>
    <w:bookmarkStart w:id="27" w:name="sampling-procedure"/>
    <w:p>
      <w:pPr>
        <w:pStyle w:val="Heading3"/>
      </w:pPr>
      <w:r>
        <w:t xml:space="preserve">5.3 Sampling Procedure</w:t>
      </w:r>
    </w:p>
    <w:p>
      <w:pPr>
        <w:pStyle w:val="FirstParagraph"/>
      </w:pPr>
      <w:r>
        <w:t xml:space="preserve">Sampling will occur during the "first flush" phase of a rainfall event, defined as the first 15 minutes of significant flow after the rain begins. This is when pollutant concentrations are typically highest due to the washing of accumulated urban dust and debris.</w:t>
      </w:r>
    </w:p>
    <w:p>
      <w:pPr>
        <w:numPr>
          <w:ilvl w:val="0"/>
          <w:numId w:val="1003"/>
        </w:numPr>
        <w:pStyle w:val="Compact"/>
      </w:pPr>
      <w:r>
        <w:rPr>
          <w:bCs/>
          <w:b/>
        </w:rPr>
        <w:t xml:space="preserve">In-situ Measurements:</w:t>
      </w:r>
      <w:r>
        <w:t xml:space="preserve"> </w:t>
      </w:r>
      <w:r>
        <w:t xml:space="preserve">Submerge the multiparameter sonde in the flowing water. Record pH, Dissolved Oxygen (DO), Electrical Conductivity (EC), and Turbidity. Ensure the probe is not touching the sediment bed.</w:t>
      </w:r>
    </w:p>
    <w:p>
      <w:pPr>
        <w:numPr>
          <w:ilvl w:val="0"/>
          <w:numId w:val="1003"/>
        </w:numPr>
        <w:pStyle w:val="Compact"/>
      </w:pPr>
      <w:r>
        <w:rPr>
          <w:bCs/>
          <w:b/>
        </w:rPr>
        <w:t xml:space="preserve">Grab Sampling:</w:t>
      </w:r>
      <w:r>
        <w:t xml:space="preserve"> </w:t>
      </w:r>
      <w:r>
        <w:t xml:space="preserve">Using the sampling pole, collect a composite sample from the mid-stream, approximately 15cm below the surface to avoid floating debris.</w:t>
      </w:r>
    </w:p>
    <w:p>
      <w:pPr>
        <w:numPr>
          <w:ilvl w:val="0"/>
          <w:numId w:val="1003"/>
        </w:numPr>
        <w:pStyle w:val="Compact"/>
      </w:pPr>
      <w:r>
        <w:rPr>
          <w:bCs/>
          <w:b/>
        </w:rPr>
        <w:t xml:space="preserve">Heavy Metal Collection:</w:t>
      </w:r>
      <w:r>
        <w:t xml:space="preserve"> </w:t>
      </w:r>
      <w:r>
        <w:t xml:space="preserve">Fill acid-washed glass bottles. Add concentrated nitric acid immediately to preserve the sample and prevent metal adsorption to the bottle walls.</w:t>
      </w:r>
    </w:p>
    <w:p>
      <w:pPr>
        <w:numPr>
          <w:ilvl w:val="0"/>
          <w:numId w:val="1003"/>
        </w:numPr>
        <w:pStyle w:val="Compact"/>
      </w:pPr>
      <w:r>
        <w:rPr>
          <w:bCs/>
          <w:b/>
        </w:rPr>
        <w:t xml:space="preserve">Microbiological Collection:</w:t>
      </w:r>
      <w:r>
        <w:t xml:space="preserve"> </w:t>
      </w:r>
      <w:r>
        <w:t xml:space="preserve">Fill sterile plastic bottles without touching the inside of the cap or bottle. These samples must be kept in the dark.</w:t>
      </w:r>
    </w:p>
    <w:p>
      <w:pPr>
        <w:numPr>
          <w:ilvl w:val="0"/>
          <w:numId w:val="1003"/>
        </w:numPr>
        <w:pStyle w:val="Compact"/>
      </w:pPr>
      <w:r>
        <w:rPr>
          <w:bCs/>
          <w:b/>
        </w:rPr>
        <w:t xml:space="preserve">Flow Measurement:</w:t>
      </w:r>
      <w:r>
        <w:t xml:space="preserve"> </w:t>
      </w:r>
      <w:r>
        <w:t xml:space="preserve">Use a flow meter to estimate the discharge rate (m³/s) to calculate total pollutant load.</w:t>
      </w:r>
    </w:p>
    <w:bookmarkEnd w:id="27"/>
    <w:bookmarkStart w:id="28" w:name="sample-preservation-and-transport"/>
    <w:p>
      <w:pPr>
        <w:pStyle w:val="Heading3"/>
      </w:pPr>
      <w:r>
        <w:t xml:space="preserve">5.4 Sample Preservation and Transport</w:t>
      </w:r>
    </w:p>
    <w:p>
      <w:pPr>
        <w:pStyle w:val="FirstParagraph"/>
      </w:pPr>
      <w:r>
        <w:t xml:space="preserve">Immediately after collection, all samples must be placed in the cooler box maintained at 4°C. Samples for microbiological analysis must reach the accredited laboratory within 6 hours. Samples for heavy metals and TSS must be analyzed within 24 hours. The Environmental Engineer must complete the Chain of Custody (CoC) form for every sample, documenting the time, location, and handler signatures.</w:t>
      </w:r>
    </w:p>
    <w:bookmarkEnd w:id="28"/>
    <w:bookmarkEnd w:id="29"/>
    <w:bookmarkStart w:id="30" w:name="data-analysis-and-reporting"/>
    <w:p>
      <w:pPr>
        <w:pStyle w:val="Heading2"/>
      </w:pPr>
      <w:r>
        <w:t xml:space="preserve">6. Data Analysis and Reporting</w:t>
      </w:r>
    </w:p>
    <w:p>
      <w:pPr>
        <w:pStyle w:val="FirstParagraph"/>
      </w:pPr>
      <w:r>
        <w:t xml:space="preserve">Upon receipt of laboratory results, the Environmental Engineer will analyze the data against the South African Water Quality Guidelines for Agriculture and Aquatic Life.</w:t>
      </w:r>
    </w:p>
    <w:p>
      <w:pPr>
        <w:numPr>
          <w:ilvl w:val="0"/>
          <w:numId w:val="1004"/>
        </w:numPr>
        <w:pStyle w:val="Compact"/>
      </w:pPr>
      <w:r>
        <w:t xml:space="preserve">Calculate the mean and standard deviation for each parameter.</w:t>
      </w:r>
    </w:p>
    <w:p>
      <w:pPr>
        <w:numPr>
          <w:ilvl w:val="0"/>
          <w:numId w:val="1004"/>
        </w:numPr>
        <w:pStyle w:val="Compact"/>
      </w:pPr>
      <w:r>
        <w:t xml:space="preserve">Compare results with historical data from the Cape Town Water Quality Monitoring Programme.</w:t>
      </w:r>
    </w:p>
    <w:p>
      <w:pPr>
        <w:numPr>
          <w:ilvl w:val="0"/>
          <w:numId w:val="1004"/>
        </w:numPr>
        <w:pStyle w:val="Compact"/>
      </w:pPr>
      <w:r>
        <w:t xml:space="preserve">Identify any exceedances of regulatory limits.</w:t>
      </w:r>
    </w:p>
    <w:p>
      <w:pPr>
        <w:pStyle w:val="FirstParagraph"/>
      </w:pPr>
      <w:r>
        <w:t xml:space="preserve">A final report will be generated, highlighting areas of non-compliance and recommending mitigation strategies, such as the installation of sediment traps or bio-swales in high-pollution catchments. This report will be submitted to the relevant municipal authorities to support urban planning and environmental protection efforts in Cape Town.</w:t>
      </w:r>
    </w:p>
    <w:bookmarkEnd w:id="30"/>
    <w:bookmarkStart w:id="31" w:name="conclusion"/>
    <w:p>
      <w:pPr>
        <w:pStyle w:val="Heading2"/>
      </w:pPr>
      <w:r>
        <w:t xml:space="preserve">7. Conclusion</w:t>
      </w:r>
    </w:p>
    <w:p>
      <w:pPr>
        <w:pStyle w:val="FirstParagraph"/>
      </w:pPr>
      <w:r>
        <w:t xml:space="preserve">This Experiment Protocol provides a rigorous framework for the Environmental Engineer to assess water quality in Cape Town. By adhering to these steps, we ensure data integrity, personnel safety, and regulatory compliance, contributing to the sustainable management of water resources in South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2026-10-10T03:09:30Z</dcterms:created>
  <dcterms:modified xsi:type="dcterms:W3CDTF">2026-10-10T03:09:30Z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