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Water</w:t>
      </w:r>
      <w:r>
        <w:t xml:space="preserve"> </w:t>
      </w:r>
      <w:r>
        <w:t xml:space="preserve">Quality</w:t>
      </w:r>
      <w:r>
        <w:t xml:space="preserve"> </w:t>
      </w:r>
      <w:r>
        <w:t xml:space="preserve">Assessment</w:t>
      </w:r>
    </w:p>
    <w:bookmarkStart w:id="20" w:name="X5b99d0b3719f966998716eeb56bf662e36d80e1"/>
    <w:p>
      <w:pPr>
        <w:pStyle w:val="Heading1"/>
      </w:pPr>
      <w:r>
        <w:t xml:space="preserve">Experiment Protocol: Urban Water Quality Assessment</w:t>
      </w:r>
    </w:p>
    <w:p>
      <w:pPr>
        <w:pStyle w:val="FirstParagraph"/>
      </w:pPr>
      <w:r>
        <w:rPr>
          <w:bCs/>
          <w:b/>
        </w:rPr>
        <w:t xml:space="preserve">Location:</w:t>
      </w:r>
      <w:r>
        <w:t xml:space="preserve"> </w:t>
      </w:r>
      <w:r>
        <w:t xml:space="preserve">South Africa, Johannesburg Metropolitan Area</w:t>
      </w:r>
    </w:p>
    <w:p>
      <w:pPr>
        <w:pStyle w:val="BodyText"/>
      </w:pPr>
      <w:r>
        <w:rPr>
          <w:bCs/>
          <w:b/>
        </w:rPr>
        <w:t xml:space="preserve">Role:</w:t>
      </w:r>
      <w:r>
        <w:t xml:space="preserve"> </w:t>
      </w:r>
      <w:r>
        <w:t xml:space="preserve">Environmental Engineer</w:t>
      </w:r>
    </w:p>
    <w:p>
      <w:pPr>
        <w:pStyle w:val="BodyText"/>
      </w:pPr>
      <w:r>
        <w:rPr>
          <w:bCs/>
          <w:b/>
        </w:rPr>
        <w:t xml:space="preserve">Date:</w:t>
      </w:r>
      <w:r>
        <w:t xml:space="preserve"> </w:t>
      </w:r>
      <w:r>
        <w:t xml:space="preserve">October 24, 2023</w:t>
      </w:r>
    </w:p>
    <w:p>
      <w:pPr>
        <w:pStyle w:val="BodyText"/>
      </w:pPr>
      <w:r>
        <w:rPr>
          <w:bCs/>
          <w:b/>
        </w:rPr>
        <w:t xml:space="preserve">Protocol ID:</w:t>
      </w:r>
      <w:r>
        <w:t xml:space="preserve"> </w:t>
      </w:r>
      <w:r>
        <w:t xml:space="preserve">SA-JHB-ENV-2023-001</w:t>
      </w:r>
    </w:p>
    <w:bookmarkEnd w:id="20"/>
    <w:bookmarkStart w:id="21" w:name="introduction-and-objective"/>
    <w:p>
      <w:pPr>
        <w:pStyle w:val="Heading2"/>
      </w:pPr>
      <w:r>
        <w:t xml:space="preserve">1. Introduction and Objective</w:t>
      </w:r>
    </w:p>
    <w:p>
      <w:pPr>
        <w:pStyle w:val="FirstParagraph"/>
      </w:pPr>
      <w:r>
        <w:t xml:space="preserve">This Experiment Protocol outlines the standardized procedures for assessing water quality in urban stormwater runoff systems within the Johannesburg metropolitan area. As an Environmental Engineer operating in South Africa, it is critical to monitor the impact of rapid urbanization and industrial activity on local water resources. Johannesburg, situated on the Highveld, faces unique environmental challenges, including acid mine drainage (AMD), heavy metal contamination, and fluctuating rainfall patterns.</w:t>
      </w:r>
    </w:p>
    <w:p>
      <w:pPr>
        <w:pStyle w:val="BodyText"/>
      </w:pPr>
      <w:r>
        <w:t xml:space="preserve">The primary objective of this experiment is to quantify the concentration of key pollutants—specifically heavy metals (lead, zinc, copper), pH levels, and turbidity—in stormwater runoff from selected industrial and residential zones. This data will inform mitigation strategies and ensure compliance with the National Water Act of South Africa.</w:t>
      </w:r>
    </w:p>
    <w:bookmarkEnd w:id="21"/>
    <w:bookmarkStart w:id="22" w:name="scope-and-study-area"/>
    <w:p>
      <w:pPr>
        <w:pStyle w:val="Heading2"/>
      </w:pPr>
      <w:r>
        <w:t xml:space="preserve">2. Scope and Study Area</w:t>
      </w:r>
    </w:p>
    <w:p>
      <w:pPr>
        <w:pStyle w:val="FirstParagraph"/>
      </w:pPr>
      <w:r>
        <w:t xml:space="preserve">The study focuses on three distinct sampling sites within Johannesburg:</w:t>
      </w:r>
    </w:p>
    <w:p>
      <w:pPr>
        <w:numPr>
          <w:ilvl w:val="0"/>
          <w:numId w:val="1001"/>
        </w:numPr>
        <w:pStyle w:val="Compact"/>
      </w:pPr>
      <w:r>
        <w:rPr>
          <w:bCs/>
          <w:b/>
        </w:rPr>
        <w:t xml:space="preserve">Site A:</w:t>
      </w:r>
      <w:r>
        <w:t xml:space="preserve"> </w:t>
      </w:r>
      <w:r>
        <w:t xml:space="preserve">Industrial Zone (Roodepoort) – High potential for heavy metal contamination.</w:t>
      </w:r>
    </w:p>
    <w:p>
      <w:pPr>
        <w:numPr>
          <w:ilvl w:val="0"/>
          <w:numId w:val="1001"/>
        </w:numPr>
        <w:pStyle w:val="Compact"/>
      </w:pPr>
      <w:r>
        <w:rPr>
          <w:bCs/>
          <w:b/>
        </w:rPr>
        <w:t xml:space="preserve">Site B:</w:t>
      </w:r>
      <w:r>
        <w:t xml:space="preserve"> </w:t>
      </w:r>
      <w:r>
        <w:t xml:space="preserve">Residential Zone (Sandton) – Focus on urban runoff and hydrocarbons.</w:t>
      </w:r>
    </w:p>
    <w:p>
      <w:pPr>
        <w:numPr>
          <w:ilvl w:val="0"/>
          <w:numId w:val="1001"/>
        </w:numPr>
        <w:pStyle w:val="Compact"/>
      </w:pPr>
      <w:r>
        <w:rPr>
          <w:bCs/>
          <w:b/>
        </w:rPr>
        <w:t xml:space="preserve">Site C:</w:t>
      </w:r>
      <w:r>
        <w:t xml:space="preserve"> </w:t>
      </w:r>
      <w:r>
        <w:t xml:space="preserve">Control Site (Hartebeespoort Dam Inflow) – Baseline water quality reference.</w:t>
      </w:r>
    </w:p>
    <w:p>
      <w:pPr>
        <w:pStyle w:val="FirstParagraph"/>
      </w:pPr>
      <w:r>
        <w:t xml:space="preserve">Sampling will be conducted during the summer rainfall season to capture peak runoff events, which are critical for understanding pollutant transport in the region.</w:t>
      </w:r>
    </w:p>
    <w:bookmarkEnd w:id="22"/>
    <w:bookmarkStart w:id="23" w:name="safety-and-regulatory-compliance"/>
    <w:p>
      <w:pPr>
        <w:pStyle w:val="Heading2"/>
      </w:pPr>
      <w:r>
        <w:t xml:space="preserve">3. Safety and Regulatory Compliance</w:t>
      </w:r>
    </w:p>
    <w:p>
      <w:pPr>
        <w:pStyle w:val="FirstParagraph"/>
      </w:pPr>
      <w:r>
        <w:rPr>
          <w:bCs/>
          <w:b/>
        </w:rPr>
        <w:t xml:space="preserve">Important:</w:t>
      </w:r>
      <w:r>
        <w:t xml:space="preserve"> </w:t>
      </w:r>
      <w:r>
        <w:t xml:space="preserve">All personnel must adhere to South African Occupational Health and Safety Act (OHSA) regulations. Personal Protective Equipment (PPE) is mandatory.</w:t>
      </w:r>
    </w:p>
    <w:p>
      <w:pPr>
        <w:pStyle w:val="BodyText"/>
      </w:pPr>
      <w:r>
        <w:t xml:space="preserve">Required PPE includes:</w:t>
      </w:r>
    </w:p>
    <w:p>
      <w:pPr>
        <w:numPr>
          <w:ilvl w:val="0"/>
          <w:numId w:val="1002"/>
        </w:numPr>
        <w:pStyle w:val="Compact"/>
      </w:pPr>
      <w:r>
        <w:t xml:space="preserve">Safety boots with steel toes</w:t>
      </w:r>
    </w:p>
    <w:p>
      <w:pPr>
        <w:numPr>
          <w:ilvl w:val="0"/>
          <w:numId w:val="1002"/>
        </w:numPr>
        <w:pStyle w:val="Compact"/>
      </w:pPr>
      <w:r>
        <w:t xml:space="preserve">High-visibility vests</w:t>
      </w:r>
    </w:p>
    <w:p>
      <w:pPr>
        <w:numPr>
          <w:ilvl w:val="0"/>
          <w:numId w:val="1002"/>
        </w:numPr>
        <w:pStyle w:val="Compact"/>
      </w:pPr>
      <w:r>
        <w:t xml:space="preserve">Nitrile gloves</w:t>
      </w:r>
    </w:p>
    <w:p>
      <w:pPr>
        <w:numPr>
          <w:ilvl w:val="0"/>
          <w:numId w:val="1002"/>
        </w:numPr>
        <w:pStyle w:val="Compact"/>
      </w:pPr>
      <w:r>
        <w:t xml:space="preserve">Safety goggles</w:t>
      </w:r>
    </w:p>
    <w:p>
      <w:pPr>
        <w:numPr>
          <w:ilvl w:val="0"/>
          <w:numId w:val="1002"/>
        </w:numPr>
        <w:pStyle w:val="Compact"/>
      </w:pPr>
      <w:r>
        <w:t xml:space="preserve">Hard hats (for industrial sites)</w:t>
      </w:r>
    </w:p>
    <w:p>
      <w:pPr>
        <w:pStyle w:val="FirstParagraph"/>
      </w:pPr>
      <w:r>
        <w:t xml:space="preserve">Additionally, all sampling activities must comply with the National Water Act (Act 36 of 1998) and obtain necessary permits from the Department of Water and Sanitation (DWS).</w:t>
      </w:r>
    </w:p>
    <w:bookmarkEnd w:id="23"/>
    <w:bookmarkStart w:id="24" w:name="materials-and-equipment"/>
    <w:p>
      <w:pPr>
        <w:pStyle w:val="Heading2"/>
      </w:pPr>
      <w:r>
        <w:t xml:space="preserve">4. Materials and Equipment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Water Sampling Bottles</w:t>
            </w:r>
          </w:p>
        </w:tc>
        <w:tc>
          <w:tcPr/>
          <w:p>
            <w:pPr>
              <w:pStyle w:val="Compact"/>
              <w:jc w:val="left"/>
            </w:pPr>
            <w:r>
              <w:t xml:space="preserve">500ml HDPE, acid-washed</w:t>
            </w:r>
          </w:p>
        </w:tc>
        <w:tc>
          <w:tcPr/>
          <w:p>
            <w:pPr>
              <w:pStyle w:val="Compact"/>
              <w:jc w:val="left"/>
            </w:pPr>
            <w:r>
              <w:t xml:space="preserve">30</w:t>
            </w:r>
          </w:p>
        </w:tc>
      </w:tr>
      <w:tr>
        <w:tc>
          <w:tcPr/>
          <w:p>
            <w:pPr>
              <w:pStyle w:val="Compact"/>
              <w:jc w:val="left"/>
            </w:pPr>
            <w:r>
              <w:t xml:space="preserve">pH Meter</w:t>
            </w:r>
          </w:p>
        </w:tc>
        <w:tc>
          <w:tcPr/>
          <w:p>
            <w:pPr>
              <w:pStyle w:val="Compact"/>
              <w:jc w:val="left"/>
            </w:pPr>
            <w:r>
              <w:t xml:space="preserve">Calibrated, portable</w:t>
            </w:r>
          </w:p>
        </w:tc>
        <w:tc>
          <w:tcPr/>
          <w:p>
            <w:pPr>
              <w:pStyle w:val="Compact"/>
              <w:jc w:val="left"/>
            </w:pPr>
            <w:r>
              <w:t xml:space="preserve">1</w:t>
            </w:r>
          </w:p>
        </w:tc>
      </w:tr>
      <w:tr>
        <w:tc>
          <w:tcPr/>
          <w:p>
            <w:pPr>
              <w:pStyle w:val="Compact"/>
              <w:jc w:val="left"/>
            </w:pPr>
            <w:r>
              <w:t xml:space="preserve">Turbidity Meter</w:t>
            </w:r>
          </w:p>
        </w:tc>
        <w:tc>
          <w:tcPr/>
          <w:p>
            <w:pPr>
              <w:pStyle w:val="Compact"/>
              <w:jc w:val="left"/>
            </w:pPr>
            <w:r>
              <w:t xml:space="preserve">Nephelometric, range 0-1000 NTU</w:t>
            </w:r>
          </w:p>
        </w:tc>
        <w:tc>
          <w:tcPr/>
          <w:p>
            <w:pPr>
              <w:pStyle w:val="Compact"/>
              <w:jc w:val="left"/>
            </w:pPr>
            <w:r>
              <w:t xml:space="preserve">1</w:t>
            </w:r>
          </w:p>
        </w:tc>
      </w:tr>
      <w:tr>
        <w:tc>
          <w:tcPr/>
          <w:p>
            <w:pPr>
              <w:pStyle w:val="Compact"/>
              <w:jc w:val="left"/>
            </w:pPr>
            <w:r>
              <w:t xml:space="preserve">GPS Device</w:t>
            </w:r>
          </w:p>
        </w:tc>
        <w:tc>
          <w:tcPr/>
          <w:p>
            <w:pPr>
              <w:pStyle w:val="Compact"/>
              <w:jc w:val="left"/>
            </w:pPr>
            <w:r>
              <w:t xml:space="preserve">High accuracy for site mapping</w:t>
            </w:r>
          </w:p>
        </w:tc>
        <w:tc>
          <w:tcPr/>
          <w:p>
            <w:pPr>
              <w:pStyle w:val="Compact"/>
              <w:jc w:val="left"/>
            </w:pPr>
            <w:r>
              <w:t xml:space="preserve">1</w:t>
            </w:r>
          </w:p>
        </w:tc>
      </w:tr>
      <w:tr>
        <w:tc>
          <w:tcPr/>
          <w:p>
            <w:pPr>
              <w:pStyle w:val="Compact"/>
              <w:jc w:val="left"/>
            </w:pPr>
            <w:r>
              <w:t xml:space="preserve">Cooler Box</w:t>
            </w:r>
          </w:p>
        </w:tc>
        <w:tc>
          <w:tcPr/>
          <w:p>
            <w:pPr>
              <w:pStyle w:val="Compact"/>
              <w:jc w:val="left"/>
            </w:pPr>
            <w:r>
              <w:t xml:space="preserve">With ice packs for sample preservation</w:t>
            </w:r>
          </w:p>
        </w:tc>
        <w:tc>
          <w:tcPr/>
          <w:p>
            <w:pPr>
              <w:pStyle w:val="Compact"/>
              <w:jc w:val="left"/>
            </w:pPr>
            <w:r>
              <w:t xml:space="preserve">2</w:t>
            </w:r>
          </w:p>
        </w:tc>
      </w:tr>
      <w:tr>
        <w:tc>
          <w:tcPr/>
          <w:p>
            <w:pPr>
              <w:pStyle w:val="Compact"/>
              <w:jc w:val="left"/>
            </w:pPr>
            <w:r>
              <w:t xml:space="preserve">Field Data Sheets</w:t>
            </w:r>
          </w:p>
        </w:tc>
        <w:tc>
          <w:tcPr/>
          <w:p>
            <w:pPr>
              <w:pStyle w:val="Compact"/>
              <w:jc w:val="left"/>
            </w:pPr>
            <w:r>
              <w:t xml:space="preserve">Waterproof, pre-printed</w:t>
            </w:r>
          </w:p>
        </w:tc>
        <w:tc>
          <w:tcPr/>
          <w:p>
            <w:pPr>
              <w:pStyle w:val="Compact"/>
              <w:jc w:val="left"/>
            </w:pPr>
            <w:r>
              <w:t xml:space="preserve">10</w:t>
            </w:r>
          </w:p>
        </w:tc>
      </w:tr>
    </w:tbl>
    <w:bookmarkEnd w:id="24"/>
    <w:bookmarkStart w:id="29" w:name="methodology"/>
    <w:p>
      <w:pPr>
        <w:pStyle w:val="Heading2"/>
      </w:pPr>
      <w:r>
        <w:t xml:space="preserve">5. Methodology</w:t>
      </w:r>
    </w:p>
    <w:bookmarkStart w:id="25" w:name="site-preparation"/>
    <w:p>
      <w:pPr>
        <w:pStyle w:val="Heading3"/>
      </w:pPr>
      <w:r>
        <w:t xml:space="preserve">5.1 Site Preparation</w:t>
      </w:r>
    </w:p>
    <w:p>
      <w:pPr>
        <w:pStyle w:val="FirstParagraph"/>
      </w:pPr>
      <w:r>
        <w:t xml:space="preserve">Prior to sampling, the Environmental Engineer must conduct a site reconnaissance to identify potential hazards and ensure accessibility. GPS coordinates of each sampling point must be recorded. The area around the sampling point should be cleared of debris to prevent contamination.</w:t>
      </w:r>
    </w:p>
    <w:bookmarkEnd w:id="25"/>
    <w:bookmarkStart w:id="26" w:name="sample-collection"/>
    <w:p>
      <w:pPr>
        <w:pStyle w:val="Heading3"/>
      </w:pPr>
      <w:r>
        <w:t xml:space="preserve">5.2 Sample Collection</w:t>
      </w:r>
    </w:p>
    <w:p>
      <w:pPr>
        <w:pStyle w:val="FirstParagraph"/>
      </w:pPr>
      <w:r>
        <w:t xml:space="preserve">Samples will be collected using the grab sampling method during active runoff events. The procedure is as follows:</w:t>
      </w:r>
    </w:p>
    <w:p>
      <w:pPr>
        <w:numPr>
          <w:ilvl w:val="0"/>
          <w:numId w:val="1003"/>
        </w:numPr>
        <w:pStyle w:val="Compact"/>
      </w:pPr>
      <w:r>
        <w:t xml:space="preserve">Rinse sampling bottles three times with the water to be sampled.</w:t>
      </w:r>
    </w:p>
    <w:p>
      <w:pPr>
        <w:numPr>
          <w:ilvl w:val="0"/>
          <w:numId w:val="1003"/>
        </w:numPr>
        <w:pStyle w:val="Compact"/>
      </w:pPr>
      <w:r>
        <w:t xml:space="preserve">Collect samples from the mid-depth of the water flow to avoid surface films and bottom sediments.</w:t>
      </w:r>
    </w:p>
    <w:p>
      <w:pPr>
        <w:numPr>
          <w:ilvl w:val="0"/>
          <w:numId w:val="1003"/>
        </w:numPr>
        <w:pStyle w:val="Compact"/>
      </w:pPr>
      <w:r>
        <w:t xml:space="preserve">Fill bottles to the brim to minimize air space, which can affect chemical stability.</w:t>
      </w:r>
    </w:p>
    <w:p>
      <w:pPr>
        <w:numPr>
          <w:ilvl w:val="0"/>
          <w:numId w:val="1003"/>
        </w:numPr>
        <w:pStyle w:val="Compact"/>
      </w:pPr>
      <w:r>
        <w:t xml:space="preserve">Label each bottle immediately with site ID, date, time, and sampler’s initials.</w:t>
      </w:r>
    </w:p>
    <w:p>
      <w:pPr>
        <w:numPr>
          <w:ilvl w:val="0"/>
          <w:numId w:val="1003"/>
        </w:numPr>
        <w:pStyle w:val="Compact"/>
      </w:pPr>
      <w:r>
        <w:t xml:space="preserve">Place samples in the cooler box with ice packs to maintain a temperature of 4°C.</w:t>
      </w:r>
    </w:p>
    <w:bookmarkEnd w:id="26"/>
    <w:bookmarkStart w:id="27" w:name="in-situ-measurements"/>
    <w:p>
      <w:pPr>
        <w:pStyle w:val="Heading3"/>
      </w:pPr>
      <w:r>
        <w:t xml:space="preserve">5.3 In-Situ Measurements</w:t>
      </w:r>
    </w:p>
    <w:p>
      <w:pPr>
        <w:pStyle w:val="FirstParagraph"/>
      </w:pPr>
      <w:r>
        <w:t xml:space="preserve">The following parameters must be measured on-site using calibrated instruments:</w:t>
      </w:r>
    </w:p>
    <w:p>
      <w:pPr>
        <w:numPr>
          <w:ilvl w:val="0"/>
          <w:numId w:val="1004"/>
        </w:numPr>
        <w:pStyle w:val="Compact"/>
      </w:pPr>
      <w:r>
        <w:rPr>
          <w:bCs/>
          <w:b/>
        </w:rPr>
        <w:t xml:space="preserve">pH:</w:t>
      </w:r>
      <w:r>
        <w:t xml:space="preserve"> </w:t>
      </w:r>
      <w:r>
        <w:t xml:space="preserve">Measure immediately after sample collection to prevent changes due to CO2 exchange.</w:t>
      </w:r>
    </w:p>
    <w:p>
      <w:pPr>
        <w:numPr>
          <w:ilvl w:val="0"/>
          <w:numId w:val="1004"/>
        </w:numPr>
        <w:pStyle w:val="Compact"/>
      </w:pPr>
      <w:r>
        <w:rPr>
          <w:bCs/>
          <w:b/>
        </w:rPr>
        <w:t xml:space="preserve">Turbidity:</w:t>
      </w:r>
      <w:r>
        <w:t xml:space="preserve"> </w:t>
      </w:r>
      <w:r>
        <w:t xml:space="preserve">Measure in NTU (Nephelometric Turbidity Units) to assess suspended solids.</w:t>
      </w:r>
    </w:p>
    <w:p>
      <w:pPr>
        <w:numPr>
          <w:ilvl w:val="0"/>
          <w:numId w:val="1004"/>
        </w:numPr>
        <w:pStyle w:val="Compact"/>
      </w:pPr>
      <w:r>
        <w:rPr>
          <w:bCs/>
          <w:b/>
        </w:rPr>
        <w:t xml:space="preserve">Dissolved Oxygen (DO):</w:t>
      </w:r>
      <w:r>
        <w:t xml:space="preserve"> </w:t>
      </w:r>
      <w:r>
        <w:t xml:space="preserve">Measure to evaluate the water’s capacity to support aquatic life.</w:t>
      </w:r>
    </w:p>
    <w:p>
      <w:pPr>
        <w:numPr>
          <w:ilvl w:val="0"/>
          <w:numId w:val="1004"/>
        </w:numPr>
        <w:pStyle w:val="Compact"/>
      </w:pPr>
      <w:r>
        <w:rPr>
          <w:bCs/>
          <w:b/>
        </w:rPr>
        <w:t xml:space="preserve">Temperature:</w:t>
      </w:r>
      <w:r>
        <w:t xml:space="preserve"> </w:t>
      </w:r>
      <w:r>
        <w:t xml:space="preserve">Record water temperature as it affects chemical reactions and biological activity.</w:t>
      </w:r>
    </w:p>
    <w:bookmarkEnd w:id="27"/>
    <w:bookmarkStart w:id="28" w:name="laboratory-analysis"/>
    <w:p>
      <w:pPr>
        <w:pStyle w:val="Heading3"/>
      </w:pPr>
      <w:r>
        <w:t xml:space="preserve">5.4 Laboratory Analysis</w:t>
      </w:r>
    </w:p>
    <w:p>
      <w:pPr>
        <w:pStyle w:val="FirstParagraph"/>
      </w:pPr>
      <w:r>
        <w:t xml:space="preserve">Samples will be transported to an accredited laboratory in Johannesburg within 24 hours. The following analyses will be performed:</w:t>
      </w:r>
    </w:p>
    <w:p>
      <w:pPr>
        <w:numPr>
          <w:ilvl w:val="0"/>
          <w:numId w:val="1005"/>
        </w:numPr>
        <w:pStyle w:val="Compact"/>
      </w:pPr>
      <w:r>
        <w:t xml:space="preserve">Heavy metal analysis using Inductively Coupled Plasma Mass Spectrometry (ICP-MS).</w:t>
      </w:r>
    </w:p>
    <w:p>
      <w:pPr>
        <w:numPr>
          <w:ilvl w:val="0"/>
          <w:numId w:val="1005"/>
        </w:numPr>
        <w:pStyle w:val="Compact"/>
      </w:pPr>
      <w:r>
        <w:t xml:space="preserve">Chemical Oxygen Demand (COD) to assess organic pollution.</w:t>
      </w:r>
    </w:p>
    <w:p>
      <w:pPr>
        <w:numPr>
          <w:ilvl w:val="0"/>
          <w:numId w:val="1005"/>
        </w:numPr>
        <w:pStyle w:val="Compact"/>
      </w:pPr>
      <w:r>
        <w:t xml:space="preserve">Total Suspended Solids (TSS) analysis.</w:t>
      </w:r>
    </w:p>
    <w:bookmarkEnd w:id="28"/>
    <w:bookmarkEnd w:id="29"/>
    <w:bookmarkStart w:id="30" w:name="data-management-and-reporting"/>
    <w:p>
      <w:pPr>
        <w:pStyle w:val="Heading2"/>
      </w:pPr>
      <w:r>
        <w:t xml:space="preserve">6. Data Management and Reporting</w:t>
      </w:r>
    </w:p>
    <w:p>
      <w:pPr>
        <w:pStyle w:val="FirstParagraph"/>
      </w:pPr>
      <w:r>
        <w:t xml:space="preserve">All field data must be recorded on waterproof data sheets and entered into a digital database within 48 hours. The Environmental Engineer is responsible for verifying data accuracy and completeness. A comprehensive report will be generated, including:</w:t>
      </w:r>
    </w:p>
    <w:p>
      <w:pPr>
        <w:numPr>
          <w:ilvl w:val="0"/>
          <w:numId w:val="1006"/>
        </w:numPr>
        <w:pStyle w:val="Compact"/>
      </w:pPr>
      <w:r>
        <w:t xml:space="preserve">Summary of findings for each site.</w:t>
      </w:r>
    </w:p>
    <w:p>
      <w:pPr>
        <w:numPr>
          <w:ilvl w:val="0"/>
          <w:numId w:val="1006"/>
        </w:numPr>
        <w:pStyle w:val="Compact"/>
      </w:pPr>
      <w:r>
        <w:t xml:space="preserve">Comparison with South African National Standards (SANS) for water quality.</w:t>
      </w:r>
    </w:p>
    <w:p>
      <w:pPr>
        <w:numPr>
          <w:ilvl w:val="0"/>
          <w:numId w:val="1006"/>
        </w:numPr>
        <w:pStyle w:val="Compact"/>
      </w:pPr>
      <w:r>
        <w:t xml:space="preserve">Recommendations for pollution control measures.</w:t>
      </w:r>
    </w:p>
    <w:bookmarkEnd w:id="30"/>
    <w:bookmarkStart w:id="31" w:name="conclusion"/>
    <w:p>
      <w:pPr>
        <w:pStyle w:val="Heading2"/>
      </w:pPr>
      <w:r>
        <w:t xml:space="preserve">7. Conclusion</w:t>
      </w:r>
    </w:p>
    <w:p>
      <w:pPr>
        <w:pStyle w:val="FirstParagraph"/>
      </w:pPr>
      <w:r>
        <w:t xml:space="preserve">This Experiment Protocol provides a robust framework for assessing water quality in Johannesburg. By adhering to these procedures, the Environmental Engineer ensures that data collected is reliable, reproducible, and compliant with South African regulations. The findings will contribute to sustainable urban development and the protection of vital water resources in the region.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Water Quality Assessment</dc:title>
  <dc:creator/>
  <dc:language>en</dc:language>
  <cp:keywords/>
  <dcterms:created xsi:type="dcterms:W3CDTF">2026-10-10T03:49:59Z</dcterms:created>
  <dcterms:modified xsi:type="dcterms:W3CDTF">2026-10-10T03:49:59Z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