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Spain</w:t>
      </w:r>
      <w:r>
        <w:t xml:space="preserve"> </w:t>
      </w:r>
      <w:r>
        <w:t xml:space="preserve">Valencia</w:t>
      </w:r>
    </w:p>
    <w:bookmarkStart w:id="20" w:name="Xdc9c7592fc77e02a85013abad7858e288ccf3ae"/>
    <w:p>
      <w:pPr>
        <w:pStyle w:val="Heading1"/>
      </w:pPr>
      <w:r>
        <w:t xml:space="preserve">Experiment Protocol: Urban Water Quality Assessment in Spain Valencia</w:t>
      </w:r>
    </w:p>
    <w:p>
      <w:pPr>
        <w:pStyle w:val="FirstParagraph"/>
      </w:pPr>
      <w:r>
        <w:rPr>
          <w:bCs/>
          <w:b/>
        </w:rPr>
        <w:t xml:space="preserve">Document ID:</w:t>
      </w:r>
      <w:r>
        <w:t xml:space="preserve"> </w:t>
      </w:r>
      <w:r>
        <w:t xml:space="preserve">EP-VLC-2023-001</w:t>
      </w:r>
    </w:p>
    <w:p>
      <w:pPr>
        <w:pStyle w:val="BodyText"/>
      </w:pPr>
      <w:r>
        <w:rPr>
          <w:bCs/>
          <w:b/>
        </w:rPr>
        <w:t xml:space="preserve">Prepared by:</w:t>
      </w:r>
      <w:r>
        <w:t xml:space="preserve"> </w:t>
      </w:r>
      <w:r>
        <w:t xml:space="preserve">Senior Environmental Engineer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Valencia, Spain</w:t>
      </w:r>
    </w:p>
    <w:bookmarkEnd w:id="20"/>
    <w:p>
      <w:pPr>
        <w:pStyle w:val="BodyText"/>
      </w:pPr>
      <w:r>
        <w:t xml:space="preserve">1. Introduction and Objective</w:t>
      </w:r>
    </w:p>
    <w:p>
      <w:pPr>
        <w:pStyle w:val="BodyText"/>
      </w:pPr>
      <w:r>
        <w:t xml:space="preserve">This Experiment Protocol outlines the methodology for assessing urban water quality in the metropolitan area of Valencia, Spain. The primary objective is to evaluate the impact of urban runoff on local water bodies, specifically focusing on the Turia Riverbed and adjacent coastal zones. As an Environmental Engineer, the goal is to ensure compliance with Spanish and European Union environmental regulations, including the Water Framework Directive (WFD) and the Urban Wastewater Treatment Directive.</w:t>
      </w:r>
    </w:p>
    <w:p>
      <w:pPr>
        <w:pStyle w:val="BodyText"/>
      </w:pPr>
      <w:r>
        <w:t xml:space="preserve">Valencia, being a coastal city with significant agricultural and industrial activities, faces unique environmental challenges. This protocol aims to identify potential pollutants, assess their concentrations, and propose mitigation strategies to protect public health and ecosystems.</w:t>
      </w:r>
    </w:p>
    <w:p>
      <w:pPr>
        <w:pStyle w:val="BodyText"/>
      </w:pPr>
      <w:r>
        <w:t xml:space="preserve">2. Scope and Study Area</w:t>
      </w:r>
    </w:p>
    <w:p>
      <w:pPr>
        <w:pStyle w:val="BodyText"/>
      </w:pPr>
      <w:r>
        <w:t xml:space="preserve">The study area encompasses three key zones within Valencia:</w:t>
      </w:r>
    </w:p>
    <w:p>
      <w:pPr>
        <w:numPr>
          <w:ilvl w:val="0"/>
          <w:numId w:val="1001"/>
        </w:numPr>
        <w:pStyle w:val="Compact"/>
      </w:pPr>
      <w:r>
        <w:rPr>
          <w:bCs/>
          <w:b/>
        </w:rPr>
        <w:t xml:space="preserve">Turia Riverbed:</w:t>
      </w:r>
      <w:r>
        <w:t xml:space="preserve"> </w:t>
      </w:r>
      <w:r>
        <w:t xml:space="preserve">From the Ruzafa district to the city center.</w:t>
      </w:r>
    </w:p>
    <w:p>
      <w:pPr>
        <w:numPr>
          <w:ilvl w:val="0"/>
          <w:numId w:val="1001"/>
        </w:numPr>
        <w:pStyle w:val="Compact"/>
      </w:pPr>
      <w:r>
        <w:rPr>
          <w:bCs/>
          <w:b/>
        </w:rPr>
        <w:t xml:space="preserve">Júcar River Delta:</w:t>
      </w:r>
      <w:r>
        <w:t xml:space="preserve"> </w:t>
      </w:r>
      <w:r>
        <w:t xml:space="preserve">Near the Albufera Natural Park.</w:t>
      </w:r>
    </w:p>
    <w:p>
      <w:pPr>
        <w:numPr>
          <w:ilvl w:val="0"/>
          <w:numId w:val="1001"/>
        </w:numPr>
        <w:pStyle w:val="Compact"/>
      </w:pPr>
      <w:r>
        <w:rPr>
          <w:bCs/>
          <w:b/>
        </w:rPr>
        <w:t xml:space="preserve">Coastal Zone:</w:t>
      </w:r>
      <w:r>
        <w:t xml:space="preserve"> </w:t>
      </w:r>
      <w:r>
        <w:t xml:space="preserve">From Malvarrosa Beach to Patacona Beach.</w:t>
      </w:r>
    </w:p>
    <w:p>
      <w:pPr>
        <w:pStyle w:val="FirstParagraph"/>
      </w:pPr>
      <w:r>
        <w:t xml:space="preserve">These areas were selected due to their ecological significance, proximity to urban centers, and potential exposure to pollutants from industrial, agricultural, and domestic sources.</w:t>
      </w:r>
    </w:p>
    <w:p>
      <w:pPr>
        <w:pStyle w:val="BodyText"/>
      </w:pPr>
      <w:r>
        <w:t xml:space="preserve">3. Methodology</w:t>
      </w:r>
    </w:p>
    <w:p>
      <w:pPr>
        <w:pStyle w:val="BodyText"/>
      </w:pPr>
      <w:r>
        <w:t xml:space="preserve">The methodology involves a combination of field sampling, laboratory analysis, and data interpretation. The following steps will be executed:</w:t>
      </w:r>
    </w:p>
    <w:bookmarkStart w:id="21" w:name="sampling-design"/>
    <w:p>
      <w:pPr>
        <w:pStyle w:val="Heading3"/>
      </w:pPr>
      <w:r>
        <w:t xml:space="preserve">3.1 Sampling Design</w:t>
      </w:r>
    </w:p>
    <w:p>
      <w:pPr>
        <w:pStyle w:val="FirstParagraph"/>
      </w:pPr>
      <w:r>
        <w:t xml:space="preserve">Sampling will be conducted over a period of three months, covering different seasons to account for seasonal variations in water quality. A total of 30 sampling points will be established across the three study zones. Sampling will occur twice a month, with additional samples collected after heavy rainfall events to assess the impact of urban runoff.</w:t>
      </w:r>
    </w:p>
    <w:bookmarkEnd w:id="21"/>
    <w:bookmarkStart w:id="22" w:name="parameters-to-be-measured"/>
    <w:p>
      <w:pPr>
        <w:pStyle w:val="Heading3"/>
      </w:pPr>
      <w:r>
        <w:t xml:space="preserve">3.2 Parameters to be Measured</w:t>
      </w:r>
    </w:p>
    <w:p>
      <w:pPr>
        <w:pStyle w:val="FirstParagraph"/>
      </w:pPr>
      <w:r>
        <w:t xml:space="preserve">The following parameters will be measured to assess water quality: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Unit</w:t>
            </w:r>
          </w:p>
        </w:tc>
        <w:tc>
          <w:tcPr/>
          <w:p>
            <w:pPr>
              <w:pStyle w:val="Compact"/>
              <w:jc w:val="left"/>
            </w:pPr>
            <w:r>
              <w:t xml:space="preserve">Method</w:t>
            </w:r>
          </w:p>
        </w:tc>
      </w:tr>
      <w:tr>
        <w:tc>
          <w:tcPr/>
          <w:p>
            <w:pPr>
              <w:pStyle w:val="Compact"/>
              <w:jc w:val="left"/>
            </w:pPr>
            <w:r>
              <w:t xml:space="preserve">pH</w:t>
            </w:r>
          </w:p>
        </w:tc>
        <w:tc>
          <w:tcPr/>
          <w:p>
            <w:pPr>
              <w:pStyle w:val="Compact"/>
              <w:jc w:val="left"/>
            </w:pPr>
            <w:r>
              <w:t xml:space="preserve">-</w:t>
            </w:r>
          </w:p>
        </w:tc>
        <w:tc>
          <w:tcPr/>
          <w:p>
            <w:pPr>
              <w:pStyle w:val="Compact"/>
              <w:jc w:val="left"/>
            </w:pPr>
            <w:r>
              <w:t xml:space="preserve">Electrode method</w:t>
            </w:r>
          </w:p>
        </w:tc>
      </w:tr>
      <w:tr>
        <w:tc>
          <w:tcPr/>
          <w:p>
            <w:pPr>
              <w:pStyle w:val="Compact"/>
              <w:jc w:val="left"/>
            </w:pPr>
            <w:r>
              <w:t xml:space="preserve">Dissolved Oxygen (DO)</w:t>
            </w:r>
          </w:p>
        </w:tc>
        <w:tc>
          <w:tcPr/>
          <w:p>
            <w:pPr>
              <w:pStyle w:val="Compact"/>
              <w:jc w:val="left"/>
            </w:pPr>
            <w:r>
              <w:t xml:space="preserve">mg/L</w:t>
            </w:r>
          </w:p>
        </w:tc>
        <w:tc>
          <w:tcPr/>
          <w:p>
            <w:pPr>
              <w:pStyle w:val="Compact"/>
              <w:jc w:val="left"/>
            </w:pPr>
            <w:r>
              <w:t xml:space="preserve">Winkler titration</w:t>
            </w:r>
          </w:p>
        </w:tc>
      </w:tr>
      <w:tr>
        <w:tc>
          <w:tcPr/>
          <w:p>
            <w:pPr>
              <w:pStyle w:val="Compact"/>
              <w:jc w:val="left"/>
            </w:pPr>
            <w:r>
              <w:t xml:space="preserve">Chemical Oxygen Demand (COD)</w:t>
            </w:r>
          </w:p>
        </w:tc>
        <w:tc>
          <w:tcPr/>
          <w:p>
            <w:pPr>
              <w:pStyle w:val="Compact"/>
              <w:jc w:val="left"/>
            </w:pPr>
            <w:r>
              <w:t xml:space="preserve">mg/L</w:t>
            </w:r>
          </w:p>
        </w:tc>
        <w:tc>
          <w:tcPr/>
          <w:p>
            <w:pPr>
              <w:pStyle w:val="Compact"/>
              <w:jc w:val="left"/>
            </w:pPr>
            <w:r>
              <w:t xml:space="preserve">Dichromate method</w:t>
            </w:r>
          </w:p>
        </w:tc>
      </w:tr>
      <w:tr>
        <w:tc>
          <w:tcPr/>
          <w:p>
            <w:pPr>
              <w:pStyle w:val="Compact"/>
              <w:jc w:val="left"/>
            </w:pPr>
            <w:r>
              <w:t xml:space="preserve">Biochemical Oxygen Demand (BOD5)</w:t>
            </w:r>
          </w:p>
        </w:tc>
        <w:tc>
          <w:tcPr/>
          <w:p>
            <w:pPr>
              <w:pStyle w:val="Compact"/>
              <w:jc w:val="left"/>
            </w:pPr>
            <w:r>
              <w:t xml:space="preserve">mg/L</w:t>
            </w:r>
          </w:p>
        </w:tc>
        <w:tc>
          <w:tcPr/>
          <w:p>
            <w:pPr>
              <w:pStyle w:val="Compact"/>
              <w:jc w:val="left"/>
            </w:pPr>
            <w:r>
              <w:t xml:space="preserve">Incubation method</w:t>
            </w:r>
          </w:p>
        </w:tc>
      </w:tr>
      <w:tr>
        <w:tc>
          <w:tcPr/>
          <w:p>
            <w:pPr>
              <w:pStyle w:val="Compact"/>
              <w:jc w:val="left"/>
            </w:pPr>
            <w:r>
              <w:t xml:space="preserve">Nitrate (NO3-)</w:t>
            </w:r>
          </w:p>
        </w:tc>
        <w:tc>
          <w:tcPr/>
          <w:p>
            <w:pPr>
              <w:pStyle w:val="Compact"/>
              <w:jc w:val="left"/>
            </w:pPr>
            <w:r>
              <w:t xml:space="preserve">mg/L</w:t>
            </w:r>
          </w:p>
        </w:tc>
        <w:tc>
          <w:tcPr/>
          <w:p>
            <w:pPr>
              <w:pStyle w:val="Compact"/>
              <w:jc w:val="left"/>
            </w:pPr>
            <w:r>
              <w:t xml:space="preserve">Colorimetric method</w:t>
            </w:r>
          </w:p>
        </w:tc>
      </w:tr>
      <w:tr>
        <w:tc>
          <w:tcPr/>
          <w:p>
            <w:pPr>
              <w:pStyle w:val="Compact"/>
              <w:jc w:val="left"/>
            </w:pPr>
            <w:r>
              <w:t xml:space="preserve">Phosphate (PO43-)</w:t>
            </w:r>
          </w:p>
        </w:tc>
        <w:tc>
          <w:tcPr/>
          <w:p>
            <w:pPr>
              <w:pStyle w:val="Compact"/>
              <w:jc w:val="left"/>
            </w:pPr>
            <w:r>
              <w:t xml:space="preserve">mg/L</w:t>
            </w:r>
          </w:p>
        </w:tc>
        <w:tc>
          <w:tcPr/>
          <w:p>
            <w:pPr>
              <w:pStyle w:val="Compact"/>
              <w:jc w:val="left"/>
            </w:pPr>
            <w:r>
              <w:t xml:space="preserve">Colorimetric method</w:t>
            </w:r>
          </w:p>
        </w:tc>
      </w:tr>
      <w:tr>
        <w:tc>
          <w:tcPr/>
          <w:p>
            <w:pPr>
              <w:pStyle w:val="Compact"/>
              <w:jc w:val="left"/>
            </w:pPr>
            <w:r>
              <w:t xml:space="preserve">Heavy Metals (Pb, Cd, Hg)</w:t>
            </w:r>
          </w:p>
        </w:tc>
        <w:tc>
          <w:tcPr/>
          <w:p>
            <w:pPr>
              <w:pStyle w:val="Compact"/>
              <w:jc w:val="left"/>
            </w:pPr>
            <w:r>
              <w:t xml:space="preserve">µg/L</w:t>
            </w:r>
          </w:p>
        </w:tc>
        <w:tc>
          <w:tcPr/>
          <w:p>
            <w:pPr>
              <w:pStyle w:val="Compact"/>
              <w:jc w:val="left"/>
            </w:pPr>
            <w:r>
              <w:t xml:space="preserve">Atomic Absorption Spectroscopy</w:t>
            </w:r>
          </w:p>
        </w:tc>
      </w:tr>
      <w:tr>
        <w:tc>
          <w:tcPr/>
          <w:p>
            <w:pPr>
              <w:pStyle w:val="Compact"/>
              <w:jc w:val="left"/>
            </w:pPr>
            <w:r>
              <w:t xml:space="preserve">Microplastics</w:t>
            </w:r>
          </w:p>
        </w:tc>
        <w:tc>
          <w:tcPr/>
          <w:p>
            <w:pPr>
              <w:pStyle w:val="Compact"/>
              <w:jc w:val="left"/>
            </w:pPr>
            <w:r>
              <w:t xml:space="preserve">particles/m3</w:t>
            </w:r>
          </w:p>
        </w:tc>
        <w:tc>
          <w:tcPr/>
          <w:p>
            <w:pPr>
              <w:pStyle w:val="Compact"/>
              <w:jc w:val="left"/>
            </w:pPr>
            <w:r>
              <w:t xml:space="preserve">Filtration and microscopy</w:t>
            </w:r>
          </w:p>
        </w:tc>
      </w:tr>
    </w:tbl>
    <w:bookmarkEnd w:id="22"/>
    <w:bookmarkStart w:id="23" w:name="field-procedures"/>
    <w:p>
      <w:pPr>
        <w:pStyle w:val="Heading3"/>
      </w:pPr>
      <w:r>
        <w:t xml:space="preserve">3.3 Field Procedures</w:t>
      </w:r>
    </w:p>
    <w:p>
      <w:pPr>
        <w:pStyle w:val="FirstParagraph"/>
      </w:pPr>
      <w:r>
        <w:t xml:space="preserve">Field sampling will be conducted using standardized protocols to ensure data accuracy and reproducibility. Samples will be collected in pre-cleaned, sterilized containers and stored at 4°C until analysis. GPS coordinates, weather conditions, and visual observations will be recorded for each sampling point.</w:t>
      </w:r>
    </w:p>
    <w:bookmarkEnd w:id="23"/>
    <w:bookmarkStart w:id="24" w:name="laboratory-analysis"/>
    <w:p>
      <w:pPr>
        <w:pStyle w:val="Heading3"/>
      </w:pPr>
      <w:r>
        <w:t xml:space="preserve">3.4 Laboratory Analysis</w:t>
      </w:r>
    </w:p>
    <w:p>
      <w:pPr>
        <w:pStyle w:val="FirstParagraph"/>
      </w:pPr>
      <w:r>
        <w:t xml:space="preserve">All samples will be analyzed in an accredited laboratory following ISO standards. Quality control measures, including blanks, duplicates, and reference materials, will be implemented to ensure data reliability.</w:t>
      </w:r>
    </w:p>
    <w:bookmarkEnd w:id="24"/>
    <w:p>
      <w:pPr>
        <w:pStyle w:val="BodyText"/>
      </w:pPr>
      <w:r>
        <w:t xml:space="preserve">4. Data Analysis and Interpretation</w:t>
      </w:r>
    </w:p>
    <w:p>
      <w:pPr>
        <w:pStyle w:val="BodyText"/>
      </w:pPr>
      <w:r>
        <w:t xml:space="preserve">Data will be analyzed using statistical software to identify trends, correlations, and anomalies. Results will be compared against Spanish and EU regulatory limits to assess compliance. Geographic Information Systems (GIS) will be used to map pollutant distribution and identify hotspots.</w:t>
      </w:r>
    </w:p>
    <w:p>
      <w:pPr>
        <w:pStyle w:val="BodyText"/>
      </w:pPr>
      <w:r>
        <w:t xml:space="preserve">As an Environmental Engineer, the interpretation of results will focus on identifying sources of pollution, assessing risks to human health and ecosystems, and recommending mitigation measures.</w:t>
      </w:r>
    </w:p>
    <w:p>
      <w:pPr>
        <w:pStyle w:val="BodyText"/>
      </w:pPr>
      <w:r>
        <w:t xml:space="preserve">5. Health and Safety</w:t>
      </w:r>
    </w:p>
    <w:p>
      <w:pPr>
        <w:pStyle w:val="BodyText"/>
      </w:pPr>
      <w:r>
        <w:t xml:space="preserve">All personnel involved in the experiment will adhere to strict health and safety protocols. Personal protective equipment (PPE), including gloves, masks, and safety goggles, will be worn during field sampling and laboratory analysis. Risk assessments will be conducted prior to each sampling event to identify and mitigate potential hazards.</w:t>
      </w:r>
    </w:p>
    <w:p>
      <w:pPr>
        <w:pStyle w:val="BodyText"/>
      </w:pPr>
      <w:r>
        <w:t xml:space="preserve">6. Reporting and Dissemination</w:t>
      </w:r>
    </w:p>
    <w:p>
      <w:pPr>
        <w:pStyle w:val="BodyText"/>
      </w:pPr>
      <w:r>
        <w:t xml:space="preserve">A comprehensive report will be prepared summarizing the findings, conclusions, and recommendations. The report will be submitted to relevant authorities, including the Generalitat Valenciana and the European Environment Agency. Results will also be disseminated through scientific publications and public workshops to raise awareness about water quality issues in Valencia.</w:t>
      </w:r>
    </w:p>
    <w:p>
      <w:pPr>
        <w:pStyle w:val="BodyText"/>
      </w:pPr>
      <w:r>
        <w:t xml:space="preserve">7. Conclusion</w:t>
      </w:r>
    </w:p>
    <w:p>
      <w:pPr>
        <w:pStyle w:val="BodyText"/>
      </w:pPr>
      <w:r>
        <w:t xml:space="preserve">This Experiment Protocol provides a robust framework for assessing urban water quality in Valencia, Spain. By following this protocol, Environmental Engineers can generate reliable data to inform policy decisions, protect ecosystems, and ensure the sustainable management of water resources in the region.</w:t>
      </w:r>
    </w:p>
    <w:p>
      <w:pPr>
        <w:pStyle w:val="BodyText"/>
      </w:pPr>
      <w:r>
        <w:rPr>
          <w:bCs/>
          <w:b/>
        </w:rPr>
        <w:t xml:space="preserve">Prepared by:</w:t>
      </w:r>
      <w:r>
        <w:t xml:space="preserve"> </w:t>
      </w:r>
      <w:r>
        <w:t xml:space="preserve">[Your Name], Environmental Engineer</w:t>
      </w:r>
      <w:r>
        <w:br/>
      </w:r>
      <w:r>
        <w:rPr>
          <w:bCs/>
          <w:b/>
        </w:rPr>
        <w:t xml:space="preserve">Contact:</w:t>
      </w:r>
      <w:r>
        <w:t xml:space="preserve"> </w:t>
      </w:r>
      <w:r>
        <w:t xml:space="preserve">[Your Email] | [Your Phone Number]</w:t>
      </w:r>
      <w:r>
        <w:br/>
      </w:r>
      <w:r>
        <w:rPr>
          <w:bCs/>
          <w:b/>
        </w:rPr>
        <w:t xml:space="preserve">Organization:</w:t>
      </w:r>
      <w:r>
        <w:t xml:space="preserve"> </w:t>
      </w:r>
      <w:r>
        <w:t xml:space="preserve">[Your Organization]</w:t>
      </w:r>
      <w:r>
        <w:br/>
      </w:r>
      <w:r>
        <w:rPr>
          <w:bCs/>
          <w:b/>
        </w:rPr>
        <w:t xml:space="preserve">Location:</w:t>
      </w:r>
      <w:r>
        <w:t xml:space="preserve"> </w:t>
      </w:r>
      <w:r>
        <w:t xml:space="preserve">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 in Spain Valencia</dc:title>
  <dc:creator/>
  <dc:language>en</dc:language>
  <cp:keywords/>
  <dcterms:created xsi:type="dcterms:W3CDTF">2026-10-10T01:03:21Z</dcterms:created>
  <dcterms:modified xsi:type="dcterms:W3CDTF">2026-10-10T01:03:21Z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